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74435675" w:rsidR="0023426C" w:rsidRPr="0085767A" w:rsidRDefault="0023426C" w:rsidP="00552440">
      <w:pPr>
        <w:pStyle w:val="3GPPHeader"/>
        <w:spacing w:line="160" w:lineRule="atLeast"/>
        <w:rPr>
          <w:sz w:val="32"/>
          <w:szCs w:val="32"/>
          <w:highlight w:val="yellow"/>
        </w:rPr>
      </w:pPr>
      <w:r w:rsidRPr="0078561F">
        <w:t>3GPP TSG-RAN WG1 Meeting #1</w:t>
      </w:r>
      <w:r>
        <w:t>1</w:t>
      </w:r>
      <w:r w:rsidR="002876D0">
        <w:t>2</w:t>
      </w:r>
      <w:r w:rsidRPr="0078561F">
        <w:tab/>
      </w:r>
      <w:r w:rsidR="00F31F2D" w:rsidRPr="00F31F2D">
        <w:t>R1-2</w:t>
      </w:r>
      <w:r w:rsidR="002876D0">
        <w:t>3</w:t>
      </w:r>
      <w:r w:rsidR="00662D60">
        <w:t>01552</w:t>
      </w:r>
    </w:p>
    <w:p w14:paraId="173AFD85" w14:textId="7DE9959B" w:rsidR="0023426C" w:rsidRPr="00C24070" w:rsidRDefault="002876D0" w:rsidP="00552440">
      <w:pPr>
        <w:tabs>
          <w:tab w:val="center" w:pos="4536"/>
          <w:tab w:val="right" w:pos="9072"/>
        </w:tabs>
        <w:spacing w:line="160" w:lineRule="atLeast"/>
        <w:rPr>
          <w:rFonts w:ascii="Arial" w:eastAsia="MS Mincho" w:hAnsi="Arial" w:cs="Arial"/>
          <w:b/>
          <w:bCs/>
          <w:sz w:val="24"/>
          <w:szCs w:val="20"/>
          <w:lang w:eastAsia="ja-JP"/>
        </w:rPr>
      </w:pPr>
      <w:r>
        <w:rPr>
          <w:rFonts w:ascii="Arial" w:eastAsia="MS Mincho" w:hAnsi="Arial" w:cs="Arial"/>
          <w:b/>
          <w:bCs/>
          <w:sz w:val="24"/>
          <w:szCs w:val="20"/>
          <w:lang w:eastAsia="ja-JP"/>
        </w:rPr>
        <w:t>Athens, Greece</w:t>
      </w:r>
      <w:r w:rsidR="00C24070" w:rsidRPr="00C24070">
        <w:rPr>
          <w:rFonts w:ascii="Arial" w:eastAsia="MS Mincho" w:hAnsi="Arial" w:cs="Arial"/>
          <w:b/>
          <w:bCs/>
          <w:sz w:val="24"/>
          <w:szCs w:val="20"/>
          <w:lang w:eastAsia="ja-JP"/>
        </w:rPr>
        <w:t xml:space="preserve">, </w:t>
      </w:r>
      <w:r>
        <w:rPr>
          <w:rFonts w:ascii="Arial" w:eastAsia="MS Mincho" w:hAnsi="Arial" w:cs="Arial"/>
          <w:b/>
          <w:bCs/>
          <w:sz w:val="24"/>
          <w:szCs w:val="20"/>
          <w:lang w:eastAsia="ja-JP"/>
        </w:rPr>
        <w:t>Feb</w:t>
      </w:r>
      <w:r w:rsidR="00C24070" w:rsidRPr="00C24070">
        <w:rPr>
          <w:rFonts w:ascii="Arial" w:eastAsia="MS Mincho" w:hAnsi="Arial" w:cs="Arial"/>
          <w:b/>
          <w:bCs/>
          <w:sz w:val="24"/>
          <w:szCs w:val="20"/>
          <w:lang w:eastAsia="ja-JP"/>
        </w:rPr>
        <w:t xml:space="preserve"> </w:t>
      </w:r>
      <w:r>
        <w:rPr>
          <w:rFonts w:ascii="Arial" w:eastAsia="MS Mincho" w:hAnsi="Arial" w:cs="Arial"/>
          <w:b/>
          <w:bCs/>
          <w:sz w:val="24"/>
          <w:szCs w:val="20"/>
          <w:lang w:eastAsia="ja-JP"/>
        </w:rPr>
        <w:t>27</w:t>
      </w:r>
      <w:r w:rsidR="00C24070" w:rsidRPr="00C24070">
        <w:rPr>
          <w:rFonts w:ascii="Arial" w:eastAsia="MS Mincho" w:hAnsi="Arial" w:cs="Arial"/>
          <w:b/>
          <w:bCs/>
          <w:sz w:val="24"/>
          <w:szCs w:val="20"/>
          <w:vertAlign w:val="superscript"/>
          <w:lang w:eastAsia="ja-JP"/>
        </w:rPr>
        <w:t>th</w:t>
      </w:r>
      <w:r w:rsidR="00C24070" w:rsidRPr="00C24070">
        <w:rPr>
          <w:rFonts w:ascii="Arial" w:eastAsia="MS Mincho" w:hAnsi="Arial" w:cs="Arial"/>
          <w:b/>
          <w:bCs/>
          <w:sz w:val="24"/>
          <w:szCs w:val="20"/>
          <w:lang w:eastAsia="ja-JP"/>
        </w:rPr>
        <w:t xml:space="preserve"> – </w:t>
      </w:r>
      <w:r>
        <w:rPr>
          <w:rFonts w:ascii="Arial" w:eastAsia="MS Mincho" w:hAnsi="Arial" w:cs="Arial"/>
          <w:b/>
          <w:bCs/>
          <w:sz w:val="24"/>
          <w:szCs w:val="20"/>
          <w:lang w:eastAsia="ja-JP"/>
        </w:rPr>
        <w:t xml:space="preserve">March </w:t>
      </w:r>
      <w:proofErr w:type="gramStart"/>
      <w:r>
        <w:rPr>
          <w:rFonts w:ascii="Arial" w:eastAsia="MS Mincho" w:hAnsi="Arial" w:cs="Arial"/>
          <w:b/>
          <w:bCs/>
          <w:sz w:val="24"/>
          <w:szCs w:val="20"/>
          <w:lang w:eastAsia="ja-JP"/>
        </w:rPr>
        <w:t>3</w:t>
      </w:r>
      <w:r w:rsidR="00C24070" w:rsidRPr="00C24070">
        <w:rPr>
          <w:rFonts w:ascii="Arial" w:eastAsia="MS Mincho" w:hAnsi="Arial" w:cs="Arial"/>
          <w:b/>
          <w:bCs/>
          <w:sz w:val="24"/>
          <w:szCs w:val="20"/>
          <w:vertAlign w:val="superscript"/>
          <w:lang w:eastAsia="ja-JP"/>
        </w:rPr>
        <w:t>th</w:t>
      </w:r>
      <w:proofErr w:type="gramEnd"/>
      <w:r w:rsidR="00C24070" w:rsidRPr="00C24070">
        <w:rPr>
          <w:rFonts w:ascii="Arial" w:eastAsia="MS Mincho" w:hAnsi="Arial" w:cs="Arial"/>
          <w:b/>
          <w:bCs/>
          <w:sz w:val="24"/>
          <w:szCs w:val="20"/>
          <w:lang w:eastAsia="ja-JP"/>
        </w:rPr>
        <w:t>, 202</w:t>
      </w:r>
      <w:r>
        <w:rPr>
          <w:rFonts w:ascii="Arial" w:eastAsia="MS Mincho" w:hAnsi="Arial" w:cs="Arial"/>
          <w:b/>
          <w:bCs/>
          <w:sz w:val="24"/>
          <w:szCs w:val="20"/>
          <w:lang w:eastAsia="ja-JP"/>
        </w:rPr>
        <w:t>3</w:t>
      </w:r>
    </w:p>
    <w:p w14:paraId="538AAD3E" w14:textId="77777777" w:rsidR="00C24070" w:rsidRDefault="00C24070" w:rsidP="00552440">
      <w:pPr>
        <w:pStyle w:val="3GPPHeader"/>
        <w:spacing w:line="160" w:lineRule="atLeast"/>
      </w:pPr>
    </w:p>
    <w:p w14:paraId="6C86F43B" w14:textId="77777777" w:rsidR="00552440" w:rsidRPr="00D24898" w:rsidRDefault="0023426C" w:rsidP="00552440">
      <w:pPr>
        <w:pStyle w:val="3GPPHeader"/>
        <w:spacing w:line="160" w:lineRule="atLeast"/>
        <w:rPr>
          <w:sz w:val="22"/>
        </w:rPr>
      </w:pPr>
      <w:r w:rsidRPr="00D24898">
        <w:rPr>
          <w:sz w:val="22"/>
        </w:rPr>
        <w:t>Agenda Item:</w:t>
      </w:r>
      <w:r w:rsidRPr="00D24898">
        <w:rPr>
          <w:sz w:val="22"/>
        </w:rPr>
        <w:tab/>
      </w:r>
      <w:r w:rsidR="00552440" w:rsidRPr="00D24898">
        <w:rPr>
          <w:sz w:val="22"/>
        </w:rPr>
        <w:t>5</w:t>
      </w:r>
    </w:p>
    <w:p w14:paraId="6D598703" w14:textId="5325CF1A" w:rsidR="00552440" w:rsidRPr="00D24898" w:rsidRDefault="0023426C" w:rsidP="00552440">
      <w:pPr>
        <w:pStyle w:val="3GPPHeader"/>
        <w:spacing w:line="160" w:lineRule="atLeast"/>
        <w:rPr>
          <w:sz w:val="22"/>
        </w:rPr>
      </w:pPr>
      <w:r w:rsidRPr="00D24898">
        <w:rPr>
          <w:sz w:val="22"/>
        </w:rPr>
        <w:t>Source:</w:t>
      </w:r>
      <w:r w:rsidRPr="00D24898">
        <w:rPr>
          <w:sz w:val="22"/>
        </w:rPr>
        <w:tab/>
        <w:t>Ericsson</w:t>
      </w:r>
    </w:p>
    <w:p w14:paraId="5E1A9041" w14:textId="1E9FA3BF" w:rsidR="0023426C" w:rsidRPr="00D24898" w:rsidRDefault="0023426C" w:rsidP="00552440">
      <w:pPr>
        <w:pStyle w:val="3GPPHeader"/>
        <w:spacing w:line="160" w:lineRule="atLeast"/>
        <w:rPr>
          <w:sz w:val="22"/>
        </w:rPr>
      </w:pPr>
      <w:r w:rsidRPr="00D24898">
        <w:rPr>
          <w:sz w:val="22"/>
        </w:rPr>
        <w:t>Title:</w:t>
      </w:r>
      <w:r w:rsidRPr="00D24898">
        <w:rPr>
          <w:sz w:val="22"/>
        </w:rPr>
        <w:tab/>
      </w:r>
      <w:r w:rsidR="00552440" w:rsidRPr="00D24898">
        <w:rPr>
          <w:rFonts w:cs="Arial"/>
          <w:sz w:val="22"/>
        </w:rPr>
        <w:t>Discussion on RAN2 LS on 1024-QAM UE capability</w:t>
      </w:r>
    </w:p>
    <w:p w14:paraId="3C1CEBA6" w14:textId="5BF4010E" w:rsidR="0023426C" w:rsidRPr="00D24898" w:rsidRDefault="0023426C" w:rsidP="00552440">
      <w:pPr>
        <w:pStyle w:val="3GPPHeader"/>
        <w:spacing w:line="160" w:lineRule="atLeast"/>
        <w:rPr>
          <w:sz w:val="22"/>
        </w:rPr>
      </w:pPr>
      <w:r w:rsidRPr="00D24898">
        <w:rPr>
          <w:sz w:val="22"/>
        </w:rPr>
        <w:t>Document for:</w:t>
      </w:r>
      <w:r w:rsidRPr="00D24898">
        <w:rPr>
          <w:sz w:val="22"/>
        </w:rPr>
        <w:tab/>
        <w:t>Discussion</w:t>
      </w:r>
    </w:p>
    <w:p w14:paraId="3C891792" w14:textId="77777777" w:rsidR="0023426C" w:rsidRDefault="0023426C" w:rsidP="0023426C">
      <w:pPr>
        <w:pStyle w:val="Heading1"/>
      </w:pPr>
      <w:r w:rsidRPr="00CE0424">
        <w:t>Introduction</w:t>
      </w:r>
    </w:p>
    <w:p w14:paraId="2499F324" w14:textId="33284351" w:rsidR="00F20089" w:rsidRPr="00AE5CED" w:rsidRDefault="00F20089" w:rsidP="00F20089">
      <w:pPr>
        <w:rPr>
          <w:rFonts w:eastAsia="Yu Mincho" w:cs="Arial"/>
        </w:rPr>
      </w:pPr>
      <w:bookmarkStart w:id="0" w:name="_Ref178064866"/>
      <w:r>
        <w:rPr>
          <w:rFonts w:ascii="Arial" w:eastAsia="Arial" w:hAnsi="Arial" w:cs="Arial"/>
        </w:rPr>
        <w:t xml:space="preserve">RAN2 sent an LS on 1024-QAM UE capability in [1], asking for RAN1 </w:t>
      </w:r>
      <w:r w:rsidR="00662D60">
        <w:rPr>
          <w:rFonts w:ascii="Arial" w:eastAsia="Arial" w:hAnsi="Arial" w:cs="Arial"/>
        </w:rPr>
        <w:t>confirmation</w:t>
      </w:r>
      <w:r>
        <w:rPr>
          <w:rFonts w:ascii="Arial" w:eastAsia="Arial" w:hAnsi="Arial" w:cs="Arial"/>
        </w:rPr>
        <w:t xml:space="preserve"> on some aspects that RAN2 </w:t>
      </w:r>
      <w:r w:rsidR="00662D60">
        <w:rPr>
          <w:rFonts w:ascii="Arial" w:eastAsia="Arial" w:hAnsi="Arial" w:cs="Arial"/>
        </w:rPr>
        <w:t>agreed</w:t>
      </w:r>
      <w:r>
        <w:rPr>
          <w:rFonts w:ascii="Arial" w:eastAsia="Arial" w:hAnsi="Arial" w:cs="Arial"/>
        </w:rPr>
        <w:t xml:space="preserve">. We </w:t>
      </w:r>
      <w:r w:rsidR="00AD7508">
        <w:rPr>
          <w:rFonts w:ascii="Arial" w:eastAsia="Arial" w:hAnsi="Arial" w:cs="Arial"/>
        </w:rPr>
        <w:t xml:space="preserve">discuss RAN1 replies for </w:t>
      </w:r>
      <w:r w:rsidR="00662D60">
        <w:rPr>
          <w:rFonts w:ascii="Arial" w:eastAsia="Arial" w:hAnsi="Arial" w:cs="Arial"/>
        </w:rPr>
        <w:t xml:space="preserve">these </w:t>
      </w:r>
      <w:r w:rsidR="00AD7508">
        <w:rPr>
          <w:rFonts w:ascii="Arial" w:eastAsia="Arial" w:hAnsi="Arial" w:cs="Arial"/>
        </w:rPr>
        <w:t>issues.</w:t>
      </w:r>
    </w:p>
    <w:p w14:paraId="2281EB3A" w14:textId="77777777" w:rsidR="0023426C" w:rsidRDefault="0023426C" w:rsidP="0023426C">
      <w:pPr>
        <w:pStyle w:val="Heading1"/>
      </w:pPr>
      <w:r w:rsidRPr="00CE0424">
        <w:t>Discussion</w:t>
      </w:r>
      <w:bookmarkEnd w:id="0"/>
    </w:p>
    <w:p w14:paraId="2F1CF770" w14:textId="77777777" w:rsidR="00F20089" w:rsidRPr="00F20089" w:rsidRDefault="00F20089" w:rsidP="00F20089">
      <w:pPr>
        <w:rPr>
          <w:rFonts w:ascii="Arial" w:hAnsi="Arial" w:cs="Arial"/>
          <w:lang w:eastAsia="ja-JP"/>
        </w:rPr>
      </w:pPr>
      <w:r w:rsidRPr="00F20089">
        <w:rPr>
          <w:rFonts w:ascii="Arial" w:hAnsi="Arial" w:cs="Arial"/>
          <w:lang w:eastAsia="ja-JP"/>
        </w:rPr>
        <w:t xml:space="preserve">According to LS from RAN2, RAN2 made below agreements regarding the 1024-QAM UE capability pdsch-1024QAM-2MIMO-FR1-r17 and asks for confirmation from RAN1 on bullet 2, 4, 5. </w:t>
      </w:r>
    </w:p>
    <w:p w14:paraId="054D4B2C" w14:textId="77777777" w:rsidR="00F20089" w:rsidRPr="00F20089" w:rsidRDefault="00F20089" w:rsidP="00F20089">
      <w:pPr>
        <w:rPr>
          <w:rFonts w:ascii="Arial" w:hAnsi="Arial" w:cs="Arial"/>
          <w:lang w:eastAsia="ja-JP"/>
        </w:rPr>
      </w:pPr>
      <w:r w:rsidRPr="00F20089">
        <w:rPr>
          <w:rFonts w:ascii="Arial" w:hAnsi="Arial" w:cs="Arial"/>
          <w:noProof/>
          <w:lang w:eastAsia="ja-JP"/>
        </w:rPr>
        <mc:AlternateContent>
          <mc:Choice Requires="wps">
            <w:drawing>
              <wp:inline distT="0" distB="0" distL="0" distR="0" wp14:anchorId="287FD80A" wp14:editId="4B8FB11A">
                <wp:extent cx="5911850" cy="2362200"/>
                <wp:effectExtent l="0" t="0" r="1270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362200"/>
                        </a:xfrm>
                        <a:prstGeom prst="rect">
                          <a:avLst/>
                        </a:prstGeom>
                        <a:solidFill>
                          <a:srgbClr val="FFFFFF"/>
                        </a:solidFill>
                        <a:ln w="9525">
                          <a:solidFill>
                            <a:srgbClr val="000000"/>
                          </a:solidFill>
                          <a:miter lim="800000"/>
                          <a:headEnd/>
                          <a:tailEnd/>
                        </a:ln>
                      </wps:spPr>
                      <wps:txbx>
                        <w:txbxContent>
                          <w:p w14:paraId="052857BE" w14:textId="77777777" w:rsidR="00F20089" w:rsidRPr="00932132" w:rsidRDefault="00F20089" w:rsidP="00F20089">
                            <w:pPr>
                              <w:pStyle w:val="Agreement"/>
                              <w:rPr>
                                <w:i/>
                                <w:iCs/>
                                <w:szCs w:val="20"/>
                              </w:rPr>
                            </w:pPr>
                            <w:r w:rsidRPr="00932132">
                              <w:rPr>
                                <w:i/>
                                <w:iCs/>
                                <w:szCs w:val="20"/>
                              </w:rPr>
                              <w:t>[1] Clarify that UE shall at most report one of pdsch-1024QAM-2MIMO-FR1-r17and pdsch-1024QAM-FR1-r17.</w:t>
                            </w:r>
                          </w:p>
                          <w:p w14:paraId="77BAC4B9" w14:textId="77777777" w:rsidR="00F20089" w:rsidRPr="00932132" w:rsidRDefault="00F20089" w:rsidP="00F20089">
                            <w:pPr>
                              <w:pStyle w:val="Agreement"/>
                              <w:rPr>
                                <w:i/>
                                <w:iCs/>
                                <w:szCs w:val="20"/>
                              </w:rPr>
                            </w:pPr>
                            <w:r w:rsidRPr="00932132">
                              <w:rPr>
                                <w:i/>
                                <w:iCs/>
                                <w:szCs w:val="20"/>
                              </w:rPr>
                              <w:t xml:space="preserve">[2] Assume to Extend </w:t>
                            </w:r>
                            <w:proofErr w:type="spellStart"/>
                            <w:r w:rsidRPr="00932132">
                              <w:rPr>
                                <w:i/>
                                <w:iCs/>
                                <w:szCs w:val="20"/>
                              </w:rPr>
                              <w:t>supportedModulationOrderDL</w:t>
                            </w:r>
                            <w:proofErr w:type="spellEnd"/>
                            <w:r w:rsidRPr="00932132">
                              <w:rPr>
                                <w:i/>
                                <w:iCs/>
                                <w:szCs w:val="20"/>
                              </w:rPr>
                              <w:t xml:space="preserve"> to include 1024 QAM (confirm with R1). </w:t>
                            </w:r>
                          </w:p>
                          <w:p w14:paraId="5319EFF5" w14:textId="77777777" w:rsidR="00F20089" w:rsidRPr="00932132" w:rsidRDefault="00F20089" w:rsidP="00F20089">
                            <w:pPr>
                              <w:pStyle w:val="Agreement"/>
                              <w:rPr>
                                <w:i/>
                                <w:iCs/>
                                <w:szCs w:val="20"/>
                              </w:rPr>
                            </w:pPr>
                            <w:r w:rsidRPr="00932132">
                              <w:rPr>
                                <w:i/>
                                <w:iCs/>
                                <w:szCs w:val="20"/>
                              </w:rPr>
                              <w:t xml:space="preserve">[3] The MIMO layer for 1024 QAM is Min (2, </w:t>
                            </w:r>
                            <w:proofErr w:type="spellStart"/>
                            <w:r w:rsidRPr="00932132">
                              <w:rPr>
                                <w:i/>
                                <w:iCs/>
                                <w:szCs w:val="20"/>
                              </w:rPr>
                              <w:t>maxNumberMIMO-LayersPDSCH</w:t>
                            </w:r>
                            <w:proofErr w:type="spellEnd"/>
                            <w:r w:rsidRPr="00932132">
                              <w:rPr>
                                <w:i/>
                                <w:iCs/>
                                <w:szCs w:val="20"/>
                              </w:rPr>
                              <w:t xml:space="preserve">) for the CC where 1024 QAM is reported </w:t>
                            </w:r>
                          </w:p>
                          <w:p w14:paraId="2517627F" w14:textId="77777777" w:rsidR="00F20089" w:rsidRPr="00932132" w:rsidRDefault="00F20089" w:rsidP="00F20089">
                            <w:pPr>
                              <w:pStyle w:val="Agreement"/>
                              <w:rPr>
                                <w:i/>
                                <w:iCs/>
                                <w:szCs w:val="20"/>
                              </w:rPr>
                            </w:pPr>
                            <w:r w:rsidRPr="00932132">
                              <w:rPr>
                                <w:i/>
                                <w:iCs/>
                                <w:szCs w:val="20"/>
                              </w:rPr>
                              <w:t>[4] Assume that Max data rate shall be derived from the higher data rate between 1024 QAM or 256 QAM for CC where 1024 QAM is indicated and the UE support reduced 1024 capability (confirm with R1)</w:t>
                            </w:r>
                          </w:p>
                          <w:p w14:paraId="0D2A6979" w14:textId="77777777" w:rsidR="00F20089" w:rsidRPr="00932132" w:rsidRDefault="00F20089" w:rsidP="00F20089">
                            <w:pPr>
                              <w:pStyle w:val="Agreement"/>
                              <w:rPr>
                                <w:i/>
                                <w:iCs/>
                                <w:szCs w:val="20"/>
                              </w:rPr>
                            </w:pPr>
                            <w:r w:rsidRPr="00932132">
                              <w:rPr>
                                <w:i/>
                                <w:iCs/>
                                <w:szCs w:val="20"/>
                              </w:rPr>
                              <w:t xml:space="preserve">[5] Assume to Clarify that both </w:t>
                            </w:r>
                            <w:proofErr w:type="spellStart"/>
                            <w:r w:rsidRPr="00932132">
                              <w:rPr>
                                <w:i/>
                                <w:iCs/>
                                <w:szCs w:val="20"/>
                              </w:rPr>
                              <w:t>scalingFactor</w:t>
                            </w:r>
                            <w:proofErr w:type="spellEnd"/>
                            <w:r w:rsidRPr="00932132">
                              <w:rPr>
                                <w:i/>
                                <w:iCs/>
                                <w:szCs w:val="20"/>
                              </w:rPr>
                              <w:t xml:space="preserve"> and scalingFactor-1024QAM-FR1-r17 can be included for in one per CC capability and legacy </w:t>
                            </w:r>
                            <w:proofErr w:type="spellStart"/>
                            <w:r w:rsidRPr="00932132">
                              <w:rPr>
                                <w:i/>
                                <w:iCs/>
                                <w:szCs w:val="20"/>
                              </w:rPr>
                              <w:t>scalingFactor</w:t>
                            </w:r>
                            <w:proofErr w:type="spellEnd"/>
                            <w:r w:rsidRPr="00932132">
                              <w:rPr>
                                <w:i/>
                                <w:iCs/>
                                <w:szCs w:val="20"/>
                              </w:rPr>
                              <w:t xml:space="preserve"> is used when non-1024 QAM is scheduled (confirm with R1)</w:t>
                            </w:r>
                          </w:p>
                        </w:txbxContent>
                      </wps:txbx>
                      <wps:bodyPr rot="0" vert="horz" wrap="square" lIns="91440" tIns="45720" rIns="91440" bIns="45720" anchor="t" anchorCtr="0">
                        <a:spAutoFit/>
                      </wps:bodyPr>
                    </wps:wsp>
                  </a:graphicData>
                </a:graphic>
              </wp:inline>
            </w:drawing>
          </mc:Choice>
          <mc:Fallback>
            <w:pict>
              <v:shapetype w14:anchorId="287FD80A" id="_x0000_t202" coordsize="21600,21600" o:spt="202" path="m,l,21600r21600,l21600,xe">
                <v:stroke joinstyle="miter"/>
                <v:path gradientshapeok="t" o:connecttype="rect"/>
              </v:shapetype>
              <v:shape id="Text Box 2" o:spid="_x0000_s1026" type="#_x0000_t202" style="width:465.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">
                <v:textbox style="mso-fit-shape-to-text:t">
                  <w:txbxContent>
                    <w:p w14:paraId="052857BE" w14:textId="77777777" w:rsidR="00F20089" w:rsidRPr="00932132" w:rsidRDefault="00F20089" w:rsidP="00F20089">
                      <w:pPr>
                        <w:pStyle w:val="Agreement"/>
                        <w:rPr>
                          <w:i/>
                          <w:iCs/>
                          <w:szCs w:val="20"/>
                        </w:rPr>
                      </w:pPr>
                      <w:r w:rsidRPr="00932132">
                        <w:rPr>
                          <w:i/>
                          <w:iCs/>
                          <w:szCs w:val="20"/>
                        </w:rPr>
                        <w:t>[1] Clarify that UE shall at most report one of pdsch-1024QAM-2MIMO-FR1-r17and pdsch-1024QAM-FR1-r17.</w:t>
                      </w:r>
                    </w:p>
                    <w:p w14:paraId="77BAC4B9" w14:textId="77777777" w:rsidR="00F20089" w:rsidRPr="00932132" w:rsidRDefault="00F20089" w:rsidP="00F20089">
                      <w:pPr>
                        <w:pStyle w:val="Agreement"/>
                        <w:rPr>
                          <w:i/>
                          <w:iCs/>
                          <w:szCs w:val="20"/>
                        </w:rPr>
                      </w:pPr>
                      <w:r w:rsidRPr="00932132">
                        <w:rPr>
                          <w:i/>
                          <w:iCs/>
                          <w:szCs w:val="20"/>
                        </w:rPr>
                        <w:t xml:space="preserve">[2] Assume to Extend </w:t>
                      </w:r>
                      <w:proofErr w:type="spellStart"/>
                      <w:r w:rsidRPr="00932132">
                        <w:rPr>
                          <w:i/>
                          <w:iCs/>
                          <w:szCs w:val="20"/>
                        </w:rPr>
                        <w:t>supportedModulationOrderDL</w:t>
                      </w:r>
                      <w:proofErr w:type="spellEnd"/>
                      <w:r w:rsidRPr="00932132">
                        <w:rPr>
                          <w:i/>
                          <w:iCs/>
                          <w:szCs w:val="20"/>
                        </w:rPr>
                        <w:t xml:space="preserve"> to include 1024 QAM (confirm with R1). </w:t>
                      </w:r>
                    </w:p>
                    <w:p w14:paraId="5319EFF5" w14:textId="77777777" w:rsidR="00F20089" w:rsidRPr="00932132" w:rsidRDefault="00F20089" w:rsidP="00F20089">
                      <w:pPr>
                        <w:pStyle w:val="Agreement"/>
                        <w:rPr>
                          <w:i/>
                          <w:iCs/>
                          <w:szCs w:val="20"/>
                        </w:rPr>
                      </w:pPr>
                      <w:r w:rsidRPr="00932132">
                        <w:rPr>
                          <w:i/>
                          <w:iCs/>
                          <w:szCs w:val="20"/>
                        </w:rPr>
                        <w:t xml:space="preserve">[3] The MIMO layer for 1024 QAM is Min (2, </w:t>
                      </w:r>
                      <w:proofErr w:type="spellStart"/>
                      <w:r w:rsidRPr="00932132">
                        <w:rPr>
                          <w:i/>
                          <w:iCs/>
                          <w:szCs w:val="20"/>
                        </w:rPr>
                        <w:t>maxNumberMIMO-LayersPDSCH</w:t>
                      </w:r>
                      <w:proofErr w:type="spellEnd"/>
                      <w:r w:rsidRPr="00932132">
                        <w:rPr>
                          <w:i/>
                          <w:iCs/>
                          <w:szCs w:val="20"/>
                        </w:rPr>
                        <w:t xml:space="preserve">) for the CC where 1024 QAM is reported </w:t>
                      </w:r>
                    </w:p>
                    <w:p w14:paraId="2517627F" w14:textId="77777777" w:rsidR="00F20089" w:rsidRPr="00932132" w:rsidRDefault="00F20089" w:rsidP="00F20089">
                      <w:pPr>
                        <w:pStyle w:val="Agreement"/>
                        <w:rPr>
                          <w:i/>
                          <w:iCs/>
                          <w:szCs w:val="20"/>
                        </w:rPr>
                      </w:pPr>
                      <w:r w:rsidRPr="00932132">
                        <w:rPr>
                          <w:i/>
                          <w:iCs/>
                          <w:szCs w:val="20"/>
                        </w:rPr>
                        <w:t>[4] Assume that Max data rate shall be derived from the higher data rate between 1024 QAM or 256 QAM for CC where 1024 QAM is indicated and the UE support reduced 1024 capability (confirm with R1)</w:t>
                      </w:r>
                    </w:p>
                    <w:p w14:paraId="0D2A6979" w14:textId="77777777" w:rsidR="00F20089" w:rsidRPr="00932132" w:rsidRDefault="00F20089" w:rsidP="00F20089">
                      <w:pPr>
                        <w:pStyle w:val="Agreement"/>
                        <w:rPr>
                          <w:i/>
                          <w:iCs/>
                          <w:szCs w:val="20"/>
                        </w:rPr>
                      </w:pPr>
                      <w:r w:rsidRPr="00932132">
                        <w:rPr>
                          <w:i/>
                          <w:iCs/>
                          <w:szCs w:val="20"/>
                        </w:rPr>
                        <w:t xml:space="preserve">[5] Assume to Clarify that both </w:t>
                      </w:r>
                      <w:proofErr w:type="spellStart"/>
                      <w:r w:rsidRPr="00932132">
                        <w:rPr>
                          <w:i/>
                          <w:iCs/>
                          <w:szCs w:val="20"/>
                        </w:rPr>
                        <w:t>scalingFactor</w:t>
                      </w:r>
                      <w:proofErr w:type="spellEnd"/>
                      <w:r w:rsidRPr="00932132">
                        <w:rPr>
                          <w:i/>
                          <w:iCs/>
                          <w:szCs w:val="20"/>
                        </w:rPr>
                        <w:t xml:space="preserve"> and scalingFactor-1024QAM-FR1-r17 can be included for in one per CC capability and legacy </w:t>
                      </w:r>
                      <w:proofErr w:type="spellStart"/>
                      <w:r w:rsidRPr="00932132">
                        <w:rPr>
                          <w:i/>
                          <w:iCs/>
                          <w:szCs w:val="20"/>
                        </w:rPr>
                        <w:t>scalingFactor</w:t>
                      </w:r>
                      <w:proofErr w:type="spellEnd"/>
                      <w:r w:rsidRPr="00932132">
                        <w:rPr>
                          <w:i/>
                          <w:iCs/>
                          <w:szCs w:val="20"/>
                        </w:rPr>
                        <w:t xml:space="preserve"> is used when non-1024 QAM is scheduled (confirm with R1)</w:t>
                      </w:r>
                    </w:p>
                  </w:txbxContent>
                </v:textbox>
                <w10:anchorlock/>
              </v:shape>
            </w:pict>
          </mc:Fallback>
        </mc:AlternateContent>
      </w:r>
    </w:p>
    <w:p w14:paraId="01499567" w14:textId="6B743CE5" w:rsidR="00F20089" w:rsidRPr="00F20089" w:rsidRDefault="00F20089" w:rsidP="00F20089">
      <w:pPr>
        <w:jc w:val="both"/>
        <w:rPr>
          <w:rFonts w:ascii="Arial" w:eastAsia="Calibri" w:hAnsi="Arial" w:cs="Arial"/>
          <w:i/>
          <w:iCs/>
        </w:rPr>
      </w:pPr>
      <w:r w:rsidRPr="00F20089">
        <w:rPr>
          <w:rFonts w:ascii="Arial" w:eastAsia="Calibri" w:hAnsi="Arial" w:cs="Arial"/>
          <w:i/>
          <w:iCs/>
        </w:rPr>
        <w:t xml:space="preserve">Discussion on </w:t>
      </w:r>
      <w:r w:rsidR="005E0CC8">
        <w:rPr>
          <w:rFonts w:ascii="Arial" w:eastAsia="Calibri" w:hAnsi="Arial" w:cs="Arial"/>
          <w:i/>
          <w:iCs/>
        </w:rPr>
        <w:t xml:space="preserve">issue </w:t>
      </w:r>
      <w:r w:rsidRPr="00F20089">
        <w:rPr>
          <w:rFonts w:ascii="Arial" w:eastAsia="Calibri" w:hAnsi="Arial" w:cs="Arial"/>
          <w:i/>
          <w:iCs/>
        </w:rPr>
        <w:t>[2]</w:t>
      </w:r>
    </w:p>
    <w:p w14:paraId="23FDC590" w14:textId="0EBC51E5" w:rsidR="00F20089" w:rsidRPr="00F20089" w:rsidRDefault="00F20089" w:rsidP="00F20089">
      <w:pPr>
        <w:rPr>
          <w:rFonts w:ascii="Arial" w:hAnsi="Arial" w:cs="Arial"/>
        </w:rPr>
      </w:pPr>
      <w:r w:rsidRPr="00F20089">
        <w:rPr>
          <w:rFonts w:ascii="Arial" w:hAnsi="Arial" w:cs="Arial"/>
        </w:rPr>
        <w:t xml:space="preserve">The purpose of </w:t>
      </w:r>
      <w:proofErr w:type="spellStart"/>
      <w:r w:rsidRPr="00F20089">
        <w:rPr>
          <w:rFonts w:ascii="Arial" w:hAnsi="Arial" w:cs="Arial"/>
        </w:rPr>
        <w:t>supportedModulationOrderDL</w:t>
      </w:r>
      <w:proofErr w:type="spellEnd"/>
      <w:r w:rsidRPr="00F20089">
        <w:rPr>
          <w:rFonts w:ascii="Arial" w:hAnsi="Arial" w:cs="Arial"/>
        </w:rPr>
        <w:t xml:space="preserve"> is to indicate a fake modulation order per CC that is used to calculate a data rate value for the carrier in the data rate formula. RAN1 discussed extend</w:t>
      </w:r>
      <w:r w:rsidR="00945DA6">
        <w:rPr>
          <w:rFonts w:ascii="Arial" w:hAnsi="Arial" w:cs="Arial"/>
        </w:rPr>
        <w:t>ing</w:t>
      </w:r>
      <w:r w:rsidRPr="00F20089">
        <w:rPr>
          <w:rFonts w:ascii="Arial" w:hAnsi="Arial" w:cs="Arial"/>
        </w:rPr>
        <w:t xml:space="preserve"> </w:t>
      </w:r>
      <w:proofErr w:type="spellStart"/>
      <w:r w:rsidRPr="00F20089">
        <w:rPr>
          <w:rFonts w:ascii="Arial" w:hAnsi="Arial" w:cs="Arial"/>
        </w:rPr>
        <w:t>supportedModulationOrderDL</w:t>
      </w:r>
      <w:proofErr w:type="spellEnd"/>
      <w:r w:rsidRPr="00F20089">
        <w:rPr>
          <w:rFonts w:ascii="Arial" w:hAnsi="Arial" w:cs="Arial"/>
        </w:rPr>
        <w:t xml:space="preserve"> in the 1024-QAM UE features discussion but did not agree to it because the scaling factors (</w:t>
      </w:r>
      <w:proofErr w:type="spellStart"/>
      <w:r w:rsidRPr="00F20089">
        <w:rPr>
          <w:rFonts w:ascii="Arial" w:hAnsi="Arial" w:cs="Arial"/>
          <w:i/>
          <w:iCs/>
        </w:rPr>
        <w:t>scalingFactor</w:t>
      </w:r>
      <w:proofErr w:type="spellEnd"/>
      <w:r w:rsidRPr="00F20089">
        <w:rPr>
          <w:rFonts w:ascii="Arial" w:hAnsi="Arial" w:cs="Arial"/>
          <w:i/>
          <w:iCs/>
        </w:rPr>
        <w:t xml:space="preserve"> and scalingFactor-1024QAM-FR1-r17</w:t>
      </w:r>
      <w:r w:rsidRPr="00F20089">
        <w:rPr>
          <w:rFonts w:ascii="Arial" w:hAnsi="Arial" w:cs="Arial"/>
        </w:rPr>
        <w:t>) w</w:t>
      </w:r>
      <w:r>
        <w:rPr>
          <w:rFonts w:ascii="Arial" w:hAnsi="Arial" w:cs="Arial"/>
        </w:rPr>
        <w:t>ere</w:t>
      </w:r>
      <w:r w:rsidRPr="00F20089">
        <w:rPr>
          <w:rFonts w:ascii="Arial" w:hAnsi="Arial" w:cs="Arial"/>
        </w:rPr>
        <w:t xml:space="preserve"> </w:t>
      </w:r>
      <w:r>
        <w:rPr>
          <w:rFonts w:ascii="Arial" w:hAnsi="Arial" w:cs="Arial"/>
        </w:rPr>
        <w:t>considered</w:t>
      </w:r>
      <w:r w:rsidRPr="00F20089">
        <w:rPr>
          <w:rFonts w:ascii="Arial" w:hAnsi="Arial" w:cs="Arial"/>
        </w:rPr>
        <w:t xml:space="preserve"> sufficient to indicate lower peak data rate. </w:t>
      </w:r>
    </w:p>
    <w:p w14:paraId="5990E91F" w14:textId="0FF31A56" w:rsidR="00F20089" w:rsidRPr="00F20089" w:rsidRDefault="00F20089" w:rsidP="00F20089">
      <w:pPr>
        <w:pStyle w:val="Observation"/>
        <w:ind w:left="1701" w:hanging="1701"/>
      </w:pPr>
      <w:bookmarkStart w:id="1" w:name="_Toc127476569"/>
      <w:r w:rsidRPr="00F20089">
        <w:t xml:space="preserve">Extension of </w:t>
      </w:r>
      <w:proofErr w:type="spellStart"/>
      <w:r w:rsidRPr="00F20089">
        <w:t>supportModulationOrderDL</w:t>
      </w:r>
      <w:proofErr w:type="spellEnd"/>
      <w:r w:rsidRPr="00F20089">
        <w:t xml:space="preserve"> is not required for indication of lower peak data rates for modulation orders larger than 256-QAM.</w:t>
      </w:r>
      <w:bookmarkEnd w:id="1"/>
    </w:p>
    <w:p w14:paraId="274C32DD" w14:textId="7C4620C4" w:rsidR="00F20089" w:rsidRPr="00F20089" w:rsidRDefault="00F20089" w:rsidP="00F20089">
      <w:pPr>
        <w:pStyle w:val="Observation"/>
        <w:ind w:left="1701" w:hanging="1701"/>
      </w:pPr>
      <w:bookmarkStart w:id="2" w:name="_Toc127476570"/>
      <w:r w:rsidRPr="00F20089">
        <w:lastRenderedPageBreak/>
        <w:t xml:space="preserve">Extension of </w:t>
      </w:r>
      <w:proofErr w:type="spellStart"/>
      <w:r w:rsidRPr="00F20089">
        <w:t>supportModulationOrderDL</w:t>
      </w:r>
      <w:proofErr w:type="spellEnd"/>
      <w:r w:rsidRPr="00F20089">
        <w:t xml:space="preserve"> increases signaling overhead (per-CC-per-band-per-BC) without providing any meaningful peak data rate reduction benefits.</w:t>
      </w:r>
      <w:bookmarkEnd w:id="2"/>
    </w:p>
    <w:p w14:paraId="314811A4" w14:textId="2C6F34E3" w:rsidR="00F20089" w:rsidRPr="00F20089" w:rsidRDefault="00F20089" w:rsidP="00F20089">
      <w:pPr>
        <w:jc w:val="both"/>
        <w:rPr>
          <w:rFonts w:ascii="Arial" w:hAnsi="Arial" w:cs="Arial"/>
        </w:rPr>
      </w:pPr>
      <w:r w:rsidRPr="00F20089">
        <w:rPr>
          <w:rFonts w:ascii="Arial" w:hAnsi="Arial" w:cs="Arial"/>
        </w:rPr>
        <w:t xml:space="preserve">When the </w:t>
      </w:r>
      <w:proofErr w:type="spellStart"/>
      <w:r w:rsidRPr="00F20089">
        <w:rPr>
          <w:rFonts w:ascii="Arial" w:hAnsi="Arial" w:cs="Arial"/>
        </w:rPr>
        <w:t>supportedModulationOrderDL</w:t>
      </w:r>
      <w:proofErr w:type="spellEnd"/>
      <w:r w:rsidRPr="00F20089">
        <w:rPr>
          <w:rFonts w:ascii="Arial" w:hAnsi="Arial" w:cs="Arial"/>
        </w:rPr>
        <w:t xml:space="preserve"> is absent, the value of </w:t>
      </w:r>
      <w:proofErr w:type="spellStart"/>
      <w:r w:rsidRPr="00F20089">
        <w:rPr>
          <w:rFonts w:ascii="Arial" w:hAnsi="Arial" w:cs="Arial"/>
        </w:rPr>
        <w:t>Qm</w:t>
      </w:r>
      <w:proofErr w:type="spellEnd"/>
      <w:r w:rsidRPr="00F20089">
        <w:rPr>
          <w:rFonts w:ascii="Arial" w:hAnsi="Arial" w:cs="Arial"/>
        </w:rPr>
        <w:t xml:space="preserve"> in the data rate calculation according to a given modulation order (</w:t>
      </w:r>
      <w:proofErr w:type="gramStart"/>
      <w:r w:rsidRPr="00F20089">
        <w:rPr>
          <w:rFonts w:ascii="Arial" w:hAnsi="Arial" w:cs="Arial"/>
        </w:rPr>
        <w:t>e.g.</w:t>
      </w:r>
      <w:proofErr w:type="gramEnd"/>
      <w:r w:rsidRPr="00F20089">
        <w:rPr>
          <w:rFonts w:ascii="Arial" w:hAnsi="Arial" w:cs="Arial"/>
        </w:rPr>
        <w:t xml:space="preserve"> 256-QAM, 1024-QAM or even 4096-QAM</w:t>
      </w:r>
      <w:r w:rsidR="00945DA6">
        <w:rPr>
          <w:rFonts w:ascii="Arial" w:hAnsi="Arial" w:cs="Arial"/>
        </w:rPr>
        <w:t xml:space="preserve"> capability</w:t>
      </w:r>
      <w:r w:rsidRPr="00F20089">
        <w:rPr>
          <w:rFonts w:ascii="Arial" w:hAnsi="Arial" w:cs="Arial"/>
        </w:rPr>
        <w:t>) is set to the corresponding modulation order</w:t>
      </w:r>
      <w:r w:rsidR="00E001A6">
        <w:rPr>
          <w:rFonts w:ascii="Arial" w:hAnsi="Arial" w:cs="Arial"/>
        </w:rPr>
        <w:t xml:space="preserve"> indicated per band</w:t>
      </w:r>
      <w:r w:rsidRPr="00F20089">
        <w:rPr>
          <w:rFonts w:ascii="Arial" w:hAnsi="Arial" w:cs="Arial"/>
        </w:rPr>
        <w:t xml:space="preserve">. Therefore, there is no need to have an explicit extension of </w:t>
      </w:r>
      <w:proofErr w:type="spellStart"/>
      <w:r w:rsidRPr="00F20089">
        <w:rPr>
          <w:rFonts w:ascii="Arial" w:hAnsi="Arial" w:cs="Arial"/>
        </w:rPr>
        <w:t>supportedModulationOrderDL</w:t>
      </w:r>
      <w:proofErr w:type="spellEnd"/>
      <w:r>
        <w:rPr>
          <w:rFonts w:ascii="Arial" w:hAnsi="Arial" w:cs="Arial"/>
        </w:rPr>
        <w:t xml:space="preserve"> to support 1024-QAM or larger modulation orders</w:t>
      </w:r>
      <w:r w:rsidR="00662D60">
        <w:rPr>
          <w:rFonts w:ascii="Arial" w:hAnsi="Arial" w:cs="Arial"/>
        </w:rPr>
        <w:t xml:space="preserve"> – it also </w:t>
      </w:r>
      <w:r w:rsidR="00B56056">
        <w:rPr>
          <w:rFonts w:ascii="Arial" w:hAnsi="Arial" w:cs="Arial"/>
        </w:rPr>
        <w:t>unnecessar</w:t>
      </w:r>
      <w:r w:rsidR="00662D60">
        <w:rPr>
          <w:rFonts w:ascii="Arial" w:hAnsi="Arial" w:cs="Arial"/>
        </w:rPr>
        <w:t>ily</w:t>
      </w:r>
      <w:r w:rsidR="00B56056">
        <w:rPr>
          <w:rFonts w:ascii="Arial" w:hAnsi="Arial" w:cs="Arial"/>
        </w:rPr>
        <w:t xml:space="preserve"> increase</w:t>
      </w:r>
      <w:r w:rsidR="00662D60">
        <w:rPr>
          <w:rFonts w:ascii="Arial" w:hAnsi="Arial" w:cs="Arial"/>
        </w:rPr>
        <w:t>s</w:t>
      </w:r>
      <w:r w:rsidR="00B56056">
        <w:rPr>
          <w:rFonts w:ascii="Arial" w:hAnsi="Arial" w:cs="Arial"/>
        </w:rPr>
        <w:t xml:space="preserve"> signaling overhead.</w:t>
      </w:r>
    </w:p>
    <w:p w14:paraId="34D993C0" w14:textId="6B2C68B1" w:rsidR="00F20089" w:rsidRPr="00F20089" w:rsidRDefault="00F20089" w:rsidP="00F20089">
      <w:pPr>
        <w:jc w:val="both"/>
        <w:rPr>
          <w:rFonts w:ascii="Arial" w:hAnsi="Arial" w:cs="Arial"/>
        </w:rPr>
      </w:pPr>
      <w:r w:rsidRPr="00F20089">
        <w:rPr>
          <w:rFonts w:ascii="Arial" w:hAnsi="Arial" w:cs="Arial"/>
        </w:rPr>
        <w:t xml:space="preserve">Based on above discussion, we propose </w:t>
      </w:r>
      <w:r>
        <w:rPr>
          <w:rFonts w:ascii="Arial" w:hAnsi="Arial" w:cs="Arial"/>
        </w:rPr>
        <w:t>following</w:t>
      </w:r>
      <w:r w:rsidRPr="00F20089">
        <w:rPr>
          <w:rFonts w:ascii="Arial" w:hAnsi="Arial" w:cs="Arial"/>
        </w:rPr>
        <w:t xml:space="preserve">. </w:t>
      </w:r>
      <w:r w:rsidR="00945DA6">
        <w:rPr>
          <w:rFonts w:ascii="Arial" w:hAnsi="Arial" w:cs="Arial"/>
        </w:rPr>
        <w:t>If needed, RAN1 can also provide more background to this answer</w:t>
      </w:r>
      <w:r w:rsidR="00E001A6">
        <w:rPr>
          <w:rFonts w:ascii="Arial" w:hAnsi="Arial" w:cs="Arial"/>
        </w:rPr>
        <w:t xml:space="preserve"> in the LS to RAN2</w:t>
      </w:r>
      <w:r w:rsidR="00945DA6">
        <w:rPr>
          <w:rFonts w:ascii="Arial" w:hAnsi="Arial" w:cs="Arial"/>
        </w:rPr>
        <w:t>.</w:t>
      </w:r>
    </w:p>
    <w:p w14:paraId="30257F09" w14:textId="1227FF13" w:rsidR="00F20089" w:rsidRDefault="00F20089" w:rsidP="00F20089">
      <w:pPr>
        <w:pStyle w:val="Proposal"/>
        <w:numPr>
          <w:ilvl w:val="0"/>
          <w:numId w:val="24"/>
        </w:numPr>
        <w:tabs>
          <w:tab w:val="clear" w:pos="1304"/>
        </w:tabs>
        <w:spacing w:line="254" w:lineRule="auto"/>
        <w:ind w:left="1701" w:hanging="1701"/>
        <w:rPr>
          <w:color w:val="000000" w:themeColor="text1"/>
          <w:lang w:val="en-CA"/>
        </w:rPr>
      </w:pPr>
      <w:bookmarkStart w:id="3" w:name="_Toc127536048"/>
      <w:r>
        <w:rPr>
          <w:color w:val="000000" w:themeColor="text1"/>
          <w:lang w:val="en-CA"/>
        </w:rPr>
        <w:t>Regarding issue [2] in RAN2 LS, send below reply to RAN2</w:t>
      </w:r>
      <w:bookmarkEnd w:id="3"/>
    </w:p>
    <w:p w14:paraId="7209F99D" w14:textId="6F37AD55" w:rsidR="00F20089" w:rsidRPr="00F20089" w:rsidRDefault="00F20089" w:rsidP="00F20089">
      <w:pPr>
        <w:pStyle w:val="Proposal"/>
        <w:numPr>
          <w:ilvl w:val="1"/>
          <w:numId w:val="24"/>
        </w:numPr>
        <w:spacing w:line="254" w:lineRule="auto"/>
        <w:rPr>
          <w:color w:val="000000" w:themeColor="text1"/>
          <w:lang w:val="en-CA"/>
        </w:rPr>
      </w:pPr>
      <w:bookmarkStart w:id="4" w:name="_Toc127536049"/>
      <w:r w:rsidRPr="00F20089">
        <w:rPr>
          <w:rFonts w:cs="Arial"/>
        </w:rPr>
        <w:t xml:space="preserve">RAN1 does not see a need to extend the </w:t>
      </w:r>
      <w:proofErr w:type="spellStart"/>
      <w:r w:rsidRPr="00F20089">
        <w:rPr>
          <w:rFonts w:cs="Arial"/>
        </w:rPr>
        <w:t>supportedModulationOrderDL</w:t>
      </w:r>
      <w:proofErr w:type="spellEnd"/>
      <w:r w:rsidRPr="00F20089">
        <w:rPr>
          <w:rFonts w:cs="Arial"/>
        </w:rPr>
        <w:t xml:space="preserve"> to include 1024 QAM.</w:t>
      </w:r>
      <w:bookmarkEnd w:id="4"/>
      <w:r w:rsidRPr="00F20089">
        <w:rPr>
          <w:rFonts w:cs="Arial"/>
        </w:rPr>
        <w:t xml:space="preserve"> </w:t>
      </w:r>
    </w:p>
    <w:p w14:paraId="03B9F5A6" w14:textId="77777777" w:rsidR="00F20089" w:rsidRPr="00F20089" w:rsidRDefault="00F20089" w:rsidP="00F20089">
      <w:pPr>
        <w:jc w:val="both"/>
        <w:rPr>
          <w:rFonts w:ascii="Arial" w:eastAsia="Calibri" w:hAnsi="Arial" w:cs="Arial"/>
          <w:i/>
          <w:iCs/>
        </w:rPr>
      </w:pPr>
      <w:r w:rsidRPr="00F20089">
        <w:rPr>
          <w:rFonts w:ascii="Arial" w:eastAsia="Calibri" w:hAnsi="Arial" w:cs="Arial"/>
          <w:i/>
          <w:iCs/>
        </w:rPr>
        <w:t>Discussion on [4]</w:t>
      </w:r>
    </w:p>
    <w:p w14:paraId="10118D4A" w14:textId="4248A772" w:rsidR="00F20089" w:rsidRPr="00F20089" w:rsidRDefault="00F20089" w:rsidP="00F20089">
      <w:pPr>
        <w:jc w:val="both"/>
        <w:rPr>
          <w:rFonts w:ascii="Arial" w:hAnsi="Arial" w:cs="Arial"/>
        </w:rPr>
      </w:pPr>
      <w:r w:rsidRPr="00F20089">
        <w:rPr>
          <w:rFonts w:ascii="Arial" w:hAnsi="Arial" w:cs="Arial"/>
        </w:rPr>
        <w:t>Note 3 in 38.306, 4.1.2 covers the max data rate “</w:t>
      </w:r>
      <w:r w:rsidRPr="00F20089">
        <w:rPr>
          <w:rFonts w:ascii="Arial" w:hAnsi="Arial" w:cs="Arial"/>
          <w:i/>
          <w:iCs/>
        </w:rPr>
        <w:t>The approximate maximum data rate can be computed as the maximum of the approximate data rates computed using the above formula for each of the supported band or band combinations.</w:t>
      </w:r>
      <w:r w:rsidRPr="00F20089">
        <w:rPr>
          <w:rFonts w:ascii="Arial" w:hAnsi="Arial" w:cs="Arial"/>
        </w:rPr>
        <w:t>”</w:t>
      </w:r>
      <w:r w:rsidR="00662D60">
        <w:rPr>
          <w:rFonts w:ascii="Arial" w:hAnsi="Arial" w:cs="Arial"/>
        </w:rPr>
        <w:t>. T</w:t>
      </w:r>
      <w:r w:rsidRPr="00F20089">
        <w:rPr>
          <w:rFonts w:ascii="Arial" w:hAnsi="Arial" w:cs="Arial"/>
        </w:rPr>
        <w:t>his is applicable for both 1024-QAM capabilities, pdsch-1024QAM-2MIMO-FR1-r17and pdsch-1024QAM-FR1-r17 since different scaling factors may apply to 256-QAM and 1024-QAM</w:t>
      </w:r>
      <w:r w:rsidR="00662D60">
        <w:rPr>
          <w:rFonts w:ascii="Arial" w:hAnsi="Arial" w:cs="Arial"/>
        </w:rPr>
        <w:t xml:space="preserve"> as well. Our understanding is that Note 3 above covers the RAN2 assumption for issue 4. </w:t>
      </w:r>
    </w:p>
    <w:p w14:paraId="0C661B44" w14:textId="5024CB6F" w:rsidR="00F20089" w:rsidRPr="00F20089" w:rsidRDefault="00F20089" w:rsidP="00F20089">
      <w:pPr>
        <w:jc w:val="both"/>
        <w:rPr>
          <w:rFonts w:ascii="Arial" w:hAnsi="Arial" w:cs="Arial"/>
        </w:rPr>
      </w:pPr>
      <w:r w:rsidRPr="00F20089">
        <w:rPr>
          <w:rFonts w:ascii="Arial" w:hAnsi="Arial" w:cs="Arial"/>
        </w:rPr>
        <w:t xml:space="preserve">Based on above discussion, we propose </w:t>
      </w:r>
      <w:r>
        <w:rPr>
          <w:rFonts w:ascii="Arial" w:hAnsi="Arial" w:cs="Arial"/>
        </w:rPr>
        <w:t>following</w:t>
      </w:r>
      <w:r w:rsidRPr="00F20089">
        <w:rPr>
          <w:rFonts w:ascii="Arial" w:hAnsi="Arial" w:cs="Arial"/>
        </w:rPr>
        <w:t xml:space="preserve">. </w:t>
      </w:r>
    </w:p>
    <w:p w14:paraId="140B2323" w14:textId="23713560" w:rsidR="00F20089" w:rsidRDefault="00F20089" w:rsidP="00F20089">
      <w:pPr>
        <w:pStyle w:val="Proposal"/>
        <w:numPr>
          <w:ilvl w:val="0"/>
          <w:numId w:val="24"/>
        </w:numPr>
        <w:tabs>
          <w:tab w:val="clear" w:pos="1304"/>
        </w:tabs>
        <w:spacing w:line="254" w:lineRule="auto"/>
        <w:ind w:left="1701" w:hanging="1701"/>
        <w:rPr>
          <w:color w:val="000000" w:themeColor="text1"/>
          <w:lang w:val="en-CA"/>
        </w:rPr>
      </w:pPr>
      <w:bookmarkStart w:id="5" w:name="_Toc127536050"/>
      <w:r>
        <w:rPr>
          <w:color w:val="000000" w:themeColor="text1"/>
          <w:lang w:val="en-CA"/>
        </w:rPr>
        <w:t>Regarding issue [4] in RAN2 LS, send below reply to RAN2</w:t>
      </w:r>
      <w:bookmarkEnd w:id="5"/>
    </w:p>
    <w:p w14:paraId="4430A8D7" w14:textId="1FA9A363" w:rsidR="00F20089" w:rsidRPr="00F20089" w:rsidRDefault="00F20089" w:rsidP="00F20089">
      <w:pPr>
        <w:pStyle w:val="Proposal"/>
        <w:numPr>
          <w:ilvl w:val="1"/>
          <w:numId w:val="24"/>
        </w:numPr>
        <w:spacing w:line="254" w:lineRule="auto"/>
        <w:rPr>
          <w:color w:val="000000" w:themeColor="text1"/>
          <w:lang w:val="en-CA"/>
        </w:rPr>
      </w:pPr>
      <w:bookmarkStart w:id="6" w:name="_Toc127536051"/>
      <w:r w:rsidRPr="00F20089">
        <w:rPr>
          <w:rFonts w:cs="Arial"/>
        </w:rPr>
        <w:t>RAN1 confirms the RAN2 assumption</w:t>
      </w:r>
      <w:r w:rsidR="00552440">
        <w:rPr>
          <w:rFonts w:cs="Arial"/>
        </w:rPr>
        <w:t xml:space="preserve"> for issue</w:t>
      </w:r>
      <w:r w:rsidRPr="00F20089">
        <w:rPr>
          <w:rFonts w:cs="Arial"/>
        </w:rPr>
        <w:t xml:space="preserve"> [4] and it is RAN1 understanding that Note 3 in TS38.306, subclause 4.1.2 covers the agreement [4] in RAN2 LS.</w:t>
      </w:r>
      <w:bookmarkEnd w:id="6"/>
    </w:p>
    <w:p w14:paraId="19CA0F3B" w14:textId="77777777" w:rsidR="00F20089" w:rsidRPr="00F20089" w:rsidRDefault="00F20089" w:rsidP="00F20089">
      <w:pPr>
        <w:jc w:val="both"/>
        <w:rPr>
          <w:rFonts w:ascii="Arial" w:eastAsia="Calibri" w:hAnsi="Arial" w:cs="Arial"/>
          <w:i/>
          <w:iCs/>
        </w:rPr>
      </w:pPr>
      <w:r w:rsidRPr="00F20089">
        <w:rPr>
          <w:rFonts w:ascii="Arial" w:eastAsia="Calibri" w:hAnsi="Arial" w:cs="Arial"/>
          <w:i/>
          <w:iCs/>
        </w:rPr>
        <w:t>Discussion on [5]</w:t>
      </w:r>
    </w:p>
    <w:p w14:paraId="77B71D14" w14:textId="59024F4C" w:rsidR="00F20089" w:rsidRPr="00F20089" w:rsidRDefault="00F20089" w:rsidP="00F20089">
      <w:pPr>
        <w:jc w:val="both"/>
        <w:rPr>
          <w:rFonts w:ascii="Arial" w:eastAsia="Calibri" w:hAnsi="Arial" w:cs="Arial"/>
        </w:rPr>
      </w:pPr>
      <w:r w:rsidRPr="00F20089">
        <w:rPr>
          <w:rFonts w:ascii="Arial" w:eastAsia="Calibri" w:hAnsi="Arial" w:cs="Arial"/>
        </w:rPr>
        <w:t xml:space="preserve">There are two parts to this </w:t>
      </w:r>
      <w:r w:rsidR="00E001A6">
        <w:rPr>
          <w:rFonts w:ascii="Arial" w:eastAsia="Calibri" w:hAnsi="Arial" w:cs="Arial"/>
        </w:rPr>
        <w:t>issue</w:t>
      </w:r>
      <w:r w:rsidR="00492653" w:rsidRPr="00F20089">
        <w:rPr>
          <w:rFonts w:ascii="Arial" w:eastAsia="Calibri" w:hAnsi="Arial" w:cs="Arial"/>
        </w:rPr>
        <w:t>:</w:t>
      </w:r>
      <w:r w:rsidRPr="00F20089">
        <w:rPr>
          <w:rFonts w:ascii="Arial" w:eastAsia="Calibri" w:hAnsi="Arial" w:cs="Arial"/>
        </w:rPr>
        <w:t xml:space="preserve"> </w:t>
      </w:r>
    </w:p>
    <w:p w14:paraId="46E36F84" w14:textId="77777777" w:rsidR="00F20089" w:rsidRPr="00F20089" w:rsidRDefault="00F20089" w:rsidP="00F20089">
      <w:pPr>
        <w:pStyle w:val="ListParagraph"/>
        <w:numPr>
          <w:ilvl w:val="0"/>
          <w:numId w:val="57"/>
        </w:numPr>
        <w:spacing w:after="160"/>
        <w:contextualSpacing/>
        <w:jc w:val="both"/>
        <w:rPr>
          <w:rFonts w:ascii="Arial" w:hAnsi="Arial" w:cs="Arial"/>
        </w:rPr>
      </w:pPr>
      <w:r w:rsidRPr="00F20089">
        <w:rPr>
          <w:rFonts w:ascii="Arial" w:hAnsi="Arial" w:cs="Arial"/>
        </w:rPr>
        <w:t xml:space="preserve">“Whether both </w:t>
      </w:r>
      <w:proofErr w:type="spellStart"/>
      <w:r w:rsidRPr="00F20089">
        <w:rPr>
          <w:rFonts w:ascii="Arial" w:hAnsi="Arial" w:cs="Arial"/>
        </w:rPr>
        <w:t>scalingFactor</w:t>
      </w:r>
      <w:proofErr w:type="spellEnd"/>
      <w:r w:rsidRPr="00F20089">
        <w:rPr>
          <w:rFonts w:ascii="Arial" w:hAnsi="Arial" w:cs="Arial"/>
        </w:rPr>
        <w:t xml:space="preserve"> and scalingFactor-1024-QAM-FR1-r17) can be included in the capability”</w:t>
      </w:r>
    </w:p>
    <w:p w14:paraId="1E3A007C" w14:textId="77777777" w:rsidR="00F20089" w:rsidRPr="00F20089" w:rsidRDefault="00F20089" w:rsidP="00F20089">
      <w:pPr>
        <w:pStyle w:val="ListParagraph"/>
        <w:numPr>
          <w:ilvl w:val="0"/>
          <w:numId w:val="57"/>
        </w:numPr>
        <w:spacing w:after="160"/>
        <w:contextualSpacing/>
        <w:jc w:val="both"/>
        <w:rPr>
          <w:rFonts w:ascii="Arial" w:hAnsi="Arial" w:cs="Arial"/>
        </w:rPr>
      </w:pPr>
      <w:r w:rsidRPr="00F20089">
        <w:rPr>
          <w:rFonts w:ascii="Arial" w:hAnsi="Arial" w:cs="Arial"/>
        </w:rPr>
        <w:t xml:space="preserve">“legacy </w:t>
      </w:r>
      <w:proofErr w:type="spellStart"/>
      <w:r w:rsidRPr="00F20089">
        <w:rPr>
          <w:rFonts w:ascii="Arial" w:hAnsi="Arial" w:cs="Arial"/>
        </w:rPr>
        <w:t>scalingFactor</w:t>
      </w:r>
      <w:proofErr w:type="spellEnd"/>
      <w:r w:rsidRPr="00F20089">
        <w:rPr>
          <w:rFonts w:ascii="Arial" w:hAnsi="Arial" w:cs="Arial"/>
        </w:rPr>
        <w:t xml:space="preserve"> is used when non-1024 QAM is scheduled”</w:t>
      </w:r>
    </w:p>
    <w:p w14:paraId="156AAE73" w14:textId="77777777" w:rsidR="00E001A6" w:rsidRDefault="00F20089" w:rsidP="00F20089">
      <w:pPr>
        <w:jc w:val="both"/>
        <w:rPr>
          <w:rFonts w:ascii="Arial" w:hAnsi="Arial" w:cs="Arial"/>
        </w:rPr>
      </w:pPr>
      <w:r w:rsidRPr="00F20089">
        <w:rPr>
          <w:rFonts w:ascii="Arial" w:hAnsi="Arial" w:cs="Arial"/>
        </w:rPr>
        <w:t xml:space="preserve">For the first part, it is </w:t>
      </w:r>
      <w:r w:rsidR="00662D60">
        <w:rPr>
          <w:rFonts w:ascii="Arial" w:hAnsi="Arial" w:cs="Arial"/>
        </w:rPr>
        <w:t>correct</w:t>
      </w:r>
      <w:r w:rsidRPr="00F20089">
        <w:rPr>
          <w:rFonts w:ascii="Arial" w:hAnsi="Arial" w:cs="Arial"/>
        </w:rPr>
        <w:t xml:space="preserve"> that both </w:t>
      </w:r>
      <w:proofErr w:type="spellStart"/>
      <w:r w:rsidRPr="00F20089">
        <w:rPr>
          <w:rFonts w:ascii="Arial" w:hAnsi="Arial" w:cs="Arial"/>
        </w:rPr>
        <w:t>scalingFactor</w:t>
      </w:r>
      <w:proofErr w:type="spellEnd"/>
      <w:r w:rsidRPr="00F20089">
        <w:rPr>
          <w:rFonts w:ascii="Arial" w:hAnsi="Arial" w:cs="Arial"/>
        </w:rPr>
        <w:t xml:space="preserve"> and scalingFactor-1024QAM-FR1-r17 can be included in the capability. </w:t>
      </w:r>
    </w:p>
    <w:p w14:paraId="7E5F7B31" w14:textId="48A8F924" w:rsidR="00F20089" w:rsidRPr="00F20089" w:rsidRDefault="00F20089" w:rsidP="00F20089">
      <w:pPr>
        <w:jc w:val="both"/>
        <w:rPr>
          <w:rFonts w:ascii="Arial" w:hAnsi="Arial" w:cs="Arial"/>
        </w:rPr>
      </w:pPr>
      <w:r w:rsidRPr="00F20089">
        <w:rPr>
          <w:rFonts w:ascii="Arial" w:hAnsi="Arial" w:cs="Arial"/>
        </w:rPr>
        <w:t xml:space="preserve">For the second part however, the legacy </w:t>
      </w:r>
      <w:proofErr w:type="spellStart"/>
      <w:r w:rsidRPr="00F20089">
        <w:rPr>
          <w:rFonts w:ascii="Arial" w:hAnsi="Arial" w:cs="Arial"/>
        </w:rPr>
        <w:t>scalingFactor</w:t>
      </w:r>
      <w:proofErr w:type="spellEnd"/>
      <w:r w:rsidRPr="00F20089">
        <w:rPr>
          <w:rFonts w:ascii="Arial" w:hAnsi="Arial" w:cs="Arial"/>
        </w:rPr>
        <w:t xml:space="preserve"> is used when non-1024 QAM is “configured”. When 1024-QAM is configured, the max data rate calculated in 38.306 follows the data rate calculated for 1024-QAM and it does not vary with the scheduled MCS value or </w:t>
      </w:r>
      <w:r w:rsidR="00492653">
        <w:rPr>
          <w:rFonts w:ascii="Arial" w:hAnsi="Arial" w:cs="Arial"/>
        </w:rPr>
        <w:t>m</w:t>
      </w:r>
      <w:r w:rsidRPr="00F20089">
        <w:rPr>
          <w:rFonts w:ascii="Arial" w:hAnsi="Arial" w:cs="Arial"/>
        </w:rPr>
        <w:t xml:space="preserve">odulation </w:t>
      </w:r>
      <w:r w:rsidR="00492653">
        <w:rPr>
          <w:rFonts w:ascii="Arial" w:hAnsi="Arial" w:cs="Arial"/>
        </w:rPr>
        <w:t>o</w:t>
      </w:r>
      <w:r w:rsidRPr="00F20089">
        <w:rPr>
          <w:rFonts w:ascii="Arial" w:hAnsi="Arial" w:cs="Arial"/>
        </w:rPr>
        <w:t xml:space="preserve">rder value. </w:t>
      </w:r>
    </w:p>
    <w:p w14:paraId="300612FE" w14:textId="39D533EA" w:rsidR="00F20089" w:rsidRPr="00F20089" w:rsidRDefault="00F20089" w:rsidP="00F20089">
      <w:pPr>
        <w:jc w:val="both"/>
        <w:rPr>
          <w:rFonts w:ascii="Arial" w:hAnsi="Arial" w:cs="Arial"/>
        </w:rPr>
      </w:pPr>
      <w:r w:rsidRPr="00F20089">
        <w:rPr>
          <w:rFonts w:ascii="Arial" w:hAnsi="Arial" w:cs="Arial"/>
        </w:rPr>
        <w:t xml:space="preserve">Based on above discussion, we propose </w:t>
      </w:r>
      <w:r>
        <w:rPr>
          <w:rFonts w:ascii="Arial" w:hAnsi="Arial" w:cs="Arial"/>
        </w:rPr>
        <w:t>following</w:t>
      </w:r>
      <w:r w:rsidR="00662D60">
        <w:rPr>
          <w:rFonts w:ascii="Arial" w:hAnsi="Arial" w:cs="Arial"/>
        </w:rPr>
        <w:t xml:space="preserve"> including the clarification in red that it is based on configuration and not based on the scheduled modulation order</w:t>
      </w:r>
      <w:r w:rsidRPr="00F20089">
        <w:rPr>
          <w:rFonts w:ascii="Arial" w:hAnsi="Arial" w:cs="Arial"/>
        </w:rPr>
        <w:t xml:space="preserve">. </w:t>
      </w:r>
    </w:p>
    <w:p w14:paraId="4ACFB428" w14:textId="49196390" w:rsidR="00F20089" w:rsidRDefault="00F20089" w:rsidP="00F20089">
      <w:pPr>
        <w:pStyle w:val="Proposal"/>
        <w:numPr>
          <w:ilvl w:val="0"/>
          <w:numId w:val="24"/>
        </w:numPr>
        <w:tabs>
          <w:tab w:val="clear" w:pos="1304"/>
        </w:tabs>
        <w:spacing w:line="254" w:lineRule="auto"/>
        <w:ind w:left="1701" w:hanging="1701"/>
        <w:rPr>
          <w:color w:val="000000" w:themeColor="text1"/>
          <w:lang w:val="en-CA"/>
        </w:rPr>
      </w:pPr>
      <w:bookmarkStart w:id="7" w:name="_Toc127536052"/>
      <w:r>
        <w:rPr>
          <w:color w:val="000000" w:themeColor="text1"/>
          <w:lang w:val="en-CA"/>
        </w:rPr>
        <w:lastRenderedPageBreak/>
        <w:t>Regarding issue [5] in RAN2 LS, send below reply to RAN2</w:t>
      </w:r>
      <w:bookmarkEnd w:id="7"/>
    </w:p>
    <w:p w14:paraId="74136E6A" w14:textId="38B3397C" w:rsidR="00F20089" w:rsidRPr="00F20089" w:rsidRDefault="00F20089" w:rsidP="00F20089">
      <w:pPr>
        <w:pStyle w:val="Proposal"/>
        <w:numPr>
          <w:ilvl w:val="1"/>
          <w:numId w:val="24"/>
        </w:numPr>
        <w:spacing w:line="254" w:lineRule="auto"/>
        <w:rPr>
          <w:color w:val="000000" w:themeColor="text1"/>
          <w:lang w:val="en-CA"/>
        </w:rPr>
      </w:pPr>
      <w:bookmarkStart w:id="8" w:name="_Toc127536053"/>
      <w:r w:rsidRPr="00F20089">
        <w:rPr>
          <w:color w:val="000000" w:themeColor="text1"/>
          <w:lang w:val="en-CA"/>
        </w:rPr>
        <w:t xml:space="preserve">It is RAN1 understanding that “both </w:t>
      </w:r>
      <w:proofErr w:type="spellStart"/>
      <w:r w:rsidRPr="00F20089">
        <w:rPr>
          <w:color w:val="000000" w:themeColor="text1"/>
          <w:lang w:val="en-CA"/>
        </w:rPr>
        <w:t>scalingFactor</w:t>
      </w:r>
      <w:proofErr w:type="spellEnd"/>
      <w:r w:rsidRPr="00F20089">
        <w:rPr>
          <w:color w:val="000000" w:themeColor="text1"/>
          <w:lang w:val="en-CA"/>
        </w:rPr>
        <w:t xml:space="preserve"> and scalingFactor-1024QAM-FR1-r17 can be included for in one per CC capability and legacy </w:t>
      </w:r>
      <w:proofErr w:type="spellStart"/>
      <w:r w:rsidRPr="00F20089">
        <w:rPr>
          <w:color w:val="000000" w:themeColor="text1"/>
          <w:lang w:val="en-CA"/>
        </w:rPr>
        <w:t>scalingFactor</w:t>
      </w:r>
      <w:proofErr w:type="spellEnd"/>
      <w:r w:rsidRPr="00F20089">
        <w:rPr>
          <w:color w:val="000000" w:themeColor="text1"/>
          <w:lang w:val="en-CA"/>
        </w:rPr>
        <w:t xml:space="preserve"> is used when non-1024 QAM is </w:t>
      </w:r>
      <w:r w:rsidRPr="00945DA6">
        <w:rPr>
          <w:color w:val="FF0000"/>
          <w:u w:val="single"/>
          <w:lang w:val="en-CA"/>
        </w:rPr>
        <w:t>configured</w:t>
      </w:r>
      <w:r w:rsidRPr="00F20089">
        <w:rPr>
          <w:color w:val="000000" w:themeColor="text1"/>
          <w:lang w:val="en-CA"/>
        </w:rPr>
        <w:t>”</w:t>
      </w:r>
      <w:r w:rsidR="00E001A6">
        <w:rPr>
          <w:color w:val="000000" w:themeColor="text1"/>
          <w:lang w:val="en-CA"/>
        </w:rPr>
        <w:t>.</w:t>
      </w:r>
      <w:bookmarkEnd w:id="8"/>
    </w:p>
    <w:p w14:paraId="1B8D09F3" w14:textId="77777777" w:rsidR="0023426C" w:rsidRPr="0078561F" w:rsidRDefault="0023426C" w:rsidP="0023426C">
      <w:pPr>
        <w:pStyle w:val="BodyText"/>
      </w:pPr>
    </w:p>
    <w:p w14:paraId="0CC35E56" w14:textId="77777777" w:rsidR="0023426C" w:rsidRPr="00CE0424" w:rsidRDefault="0023426C" w:rsidP="0023426C">
      <w:pPr>
        <w:pStyle w:val="Heading1"/>
      </w:pPr>
      <w:r w:rsidRPr="00CE0424">
        <w:t>Conclusion</w:t>
      </w:r>
    </w:p>
    <w:p w14:paraId="3E06BF6A" w14:textId="77777777" w:rsidR="0023426C" w:rsidRPr="0078561F" w:rsidRDefault="0023426C" w:rsidP="0023426C">
      <w:pPr>
        <w:pStyle w:val="BodyText"/>
        <w:rPr>
          <w:b/>
          <w:bCs/>
        </w:rPr>
      </w:pPr>
      <w:r w:rsidRPr="0078561F">
        <w:t>In the previous sections we made the following observations:</w:t>
      </w:r>
      <w:r w:rsidRPr="0078561F">
        <w:rPr>
          <w:b/>
          <w:bCs/>
        </w:rPr>
        <w:t xml:space="preserve"> </w:t>
      </w:r>
    </w:p>
    <w:p w14:paraId="437BCAC2" w14:textId="2D9320F5" w:rsidR="00662D60" w:rsidRDefault="0023426C">
      <w:pPr>
        <w:pStyle w:val="TableofFigures"/>
        <w:tabs>
          <w:tab w:val="right" w:leader="dot" w:pos="9350"/>
        </w:tabs>
        <w:rPr>
          <w:rFonts w:asciiTheme="minorHAnsi" w:eastAsiaTheme="minorEastAsia" w:hAnsiTheme="minorHAnsi"/>
          <w:b w:val="0"/>
          <w:noProof/>
          <w:lang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27476569" w:history="1">
        <w:r w:rsidR="00662D60" w:rsidRPr="00A34C21">
          <w:rPr>
            <w:rStyle w:val="Hyperlink"/>
            <w:noProof/>
          </w:rPr>
          <w:t>Observation 1</w:t>
        </w:r>
        <w:r w:rsidR="00662D60">
          <w:rPr>
            <w:rFonts w:asciiTheme="minorHAnsi" w:eastAsiaTheme="minorEastAsia" w:hAnsiTheme="minorHAnsi"/>
            <w:b w:val="0"/>
            <w:noProof/>
            <w:lang w:eastAsia="en-US"/>
          </w:rPr>
          <w:tab/>
        </w:r>
        <w:r w:rsidR="00662D60" w:rsidRPr="00A34C21">
          <w:rPr>
            <w:rStyle w:val="Hyperlink"/>
            <w:noProof/>
          </w:rPr>
          <w:t>Extension of supportModulationOrderDL is not required for indication of lower peak data rates for modulation orders larger than 256-QAM.</w:t>
        </w:r>
      </w:hyperlink>
    </w:p>
    <w:p w14:paraId="7F1E4AB7" w14:textId="1D0EF306" w:rsidR="00662D60" w:rsidRDefault="00916B3E">
      <w:pPr>
        <w:pStyle w:val="TableofFigures"/>
        <w:tabs>
          <w:tab w:val="right" w:leader="dot" w:pos="9350"/>
        </w:tabs>
        <w:rPr>
          <w:rFonts w:asciiTheme="minorHAnsi" w:eastAsiaTheme="minorEastAsia" w:hAnsiTheme="minorHAnsi"/>
          <w:b w:val="0"/>
          <w:noProof/>
          <w:lang w:eastAsia="en-US"/>
        </w:rPr>
      </w:pPr>
      <w:hyperlink w:anchor="_Toc127476570" w:history="1">
        <w:r w:rsidR="00662D60" w:rsidRPr="00A34C21">
          <w:rPr>
            <w:rStyle w:val="Hyperlink"/>
            <w:noProof/>
          </w:rPr>
          <w:t>Observation 2</w:t>
        </w:r>
        <w:r w:rsidR="00662D60">
          <w:rPr>
            <w:rFonts w:asciiTheme="minorHAnsi" w:eastAsiaTheme="minorEastAsia" w:hAnsiTheme="minorHAnsi"/>
            <w:b w:val="0"/>
            <w:noProof/>
            <w:lang w:eastAsia="en-US"/>
          </w:rPr>
          <w:tab/>
        </w:r>
        <w:r w:rsidR="00662D60" w:rsidRPr="00A34C21">
          <w:rPr>
            <w:rStyle w:val="Hyperlink"/>
            <w:noProof/>
          </w:rPr>
          <w:t>Extension of supportModulationOrderDL increases signaling overhead (per-CC-per-band-per-BC) without providing any meaningful peak data rate reduction benefits.</w:t>
        </w:r>
      </w:hyperlink>
    </w:p>
    <w:p w14:paraId="67A1340E" w14:textId="4825514E" w:rsidR="0023426C" w:rsidRDefault="0023426C" w:rsidP="0023426C">
      <w:pPr>
        <w:pStyle w:val="BodyText"/>
      </w:pPr>
      <w:r w:rsidRPr="005A2D54">
        <w:fldChar w:fldCharType="end"/>
      </w:r>
    </w:p>
    <w:p w14:paraId="2E56DBA6" w14:textId="77777777" w:rsidR="0023426C" w:rsidRPr="0078561F" w:rsidRDefault="0023426C" w:rsidP="0023426C">
      <w:pPr>
        <w:pStyle w:val="BodyText"/>
      </w:pPr>
      <w:r w:rsidRPr="0078561F">
        <w:t>Based on the discussion in the previous sections we propose the following:</w:t>
      </w:r>
    </w:p>
    <w:p w14:paraId="03CC154D" w14:textId="336D97E6" w:rsidR="002D3BEF" w:rsidRDefault="0023426C">
      <w:pPr>
        <w:pStyle w:val="TableofFigures"/>
        <w:tabs>
          <w:tab w:val="right" w:leader="dot" w:pos="9350"/>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27536048" w:history="1">
        <w:r w:rsidR="002D3BEF" w:rsidRPr="00AE40D2">
          <w:rPr>
            <w:rStyle w:val="Hyperlink"/>
            <w:noProof/>
            <w:lang w:val="en-CA"/>
          </w:rPr>
          <w:t>Proposal 1</w:t>
        </w:r>
        <w:r w:rsidR="002D3BEF">
          <w:rPr>
            <w:rFonts w:asciiTheme="minorHAnsi" w:eastAsiaTheme="minorEastAsia" w:hAnsiTheme="minorHAnsi"/>
            <w:b w:val="0"/>
            <w:noProof/>
            <w:lang w:eastAsia="en-US"/>
          </w:rPr>
          <w:tab/>
        </w:r>
        <w:r w:rsidR="002D3BEF" w:rsidRPr="00AE40D2">
          <w:rPr>
            <w:rStyle w:val="Hyperlink"/>
            <w:noProof/>
            <w:lang w:val="en-CA"/>
          </w:rPr>
          <w:t>Regarding issue [2] in RAN2 LS, send below reply to RAN2</w:t>
        </w:r>
      </w:hyperlink>
    </w:p>
    <w:p w14:paraId="4759DB00" w14:textId="713B2E7E" w:rsidR="002D3BEF" w:rsidRDefault="00916B3E">
      <w:pPr>
        <w:pStyle w:val="TableofFigures"/>
        <w:tabs>
          <w:tab w:val="right" w:leader="dot" w:pos="9350"/>
        </w:tabs>
        <w:rPr>
          <w:rFonts w:asciiTheme="minorHAnsi" w:eastAsiaTheme="minorEastAsia" w:hAnsiTheme="minorHAnsi"/>
          <w:b w:val="0"/>
          <w:noProof/>
          <w:lang w:eastAsia="en-US"/>
        </w:rPr>
      </w:pPr>
      <w:hyperlink w:anchor="_Toc127536049" w:history="1">
        <w:r w:rsidR="002D3BEF" w:rsidRPr="00AE40D2">
          <w:rPr>
            <w:rStyle w:val="Hyperlink"/>
            <w:rFonts w:ascii="Symbol" w:hAnsi="Symbol"/>
            <w:noProof/>
            <w:lang w:val="en-CA"/>
          </w:rPr>
          <w:t></w:t>
        </w:r>
        <w:r w:rsidR="002D3BEF">
          <w:rPr>
            <w:rFonts w:asciiTheme="minorHAnsi" w:eastAsiaTheme="minorEastAsia" w:hAnsiTheme="minorHAnsi"/>
            <w:b w:val="0"/>
            <w:noProof/>
            <w:lang w:eastAsia="en-US"/>
          </w:rPr>
          <w:tab/>
        </w:r>
        <w:r w:rsidR="002D3BEF" w:rsidRPr="00AE40D2">
          <w:rPr>
            <w:rStyle w:val="Hyperlink"/>
            <w:rFonts w:cs="Arial"/>
            <w:noProof/>
          </w:rPr>
          <w:t>RAN1 does not see a need to extend the supportedModulationOrderDL to include 1024 QAM.</w:t>
        </w:r>
      </w:hyperlink>
    </w:p>
    <w:p w14:paraId="5D337966" w14:textId="1BB40255" w:rsidR="002D3BEF" w:rsidRDefault="00916B3E">
      <w:pPr>
        <w:pStyle w:val="TableofFigures"/>
        <w:tabs>
          <w:tab w:val="right" w:leader="dot" w:pos="9350"/>
        </w:tabs>
        <w:rPr>
          <w:rFonts w:asciiTheme="minorHAnsi" w:eastAsiaTheme="minorEastAsia" w:hAnsiTheme="minorHAnsi"/>
          <w:b w:val="0"/>
          <w:noProof/>
          <w:lang w:eastAsia="en-US"/>
        </w:rPr>
      </w:pPr>
      <w:hyperlink w:anchor="_Toc127536050" w:history="1">
        <w:r w:rsidR="002D3BEF" w:rsidRPr="00AE40D2">
          <w:rPr>
            <w:rStyle w:val="Hyperlink"/>
            <w:noProof/>
            <w:lang w:val="en-CA"/>
          </w:rPr>
          <w:t>Proposal 2</w:t>
        </w:r>
        <w:r w:rsidR="002D3BEF">
          <w:rPr>
            <w:rFonts w:asciiTheme="minorHAnsi" w:eastAsiaTheme="minorEastAsia" w:hAnsiTheme="minorHAnsi"/>
            <w:b w:val="0"/>
            <w:noProof/>
            <w:lang w:eastAsia="en-US"/>
          </w:rPr>
          <w:tab/>
        </w:r>
        <w:r w:rsidR="002D3BEF" w:rsidRPr="00AE40D2">
          <w:rPr>
            <w:rStyle w:val="Hyperlink"/>
            <w:noProof/>
            <w:lang w:val="en-CA"/>
          </w:rPr>
          <w:t>Regarding issue [4] in RAN2 LS, send below reply to RAN2</w:t>
        </w:r>
      </w:hyperlink>
    </w:p>
    <w:p w14:paraId="1AC51533" w14:textId="5DE7554E" w:rsidR="002D3BEF" w:rsidRDefault="00916B3E">
      <w:pPr>
        <w:pStyle w:val="TableofFigures"/>
        <w:tabs>
          <w:tab w:val="right" w:leader="dot" w:pos="9350"/>
        </w:tabs>
        <w:rPr>
          <w:rFonts w:asciiTheme="minorHAnsi" w:eastAsiaTheme="minorEastAsia" w:hAnsiTheme="minorHAnsi"/>
          <w:b w:val="0"/>
          <w:noProof/>
          <w:lang w:eastAsia="en-US"/>
        </w:rPr>
      </w:pPr>
      <w:hyperlink w:anchor="_Toc127536051" w:history="1">
        <w:r w:rsidR="002D3BEF" w:rsidRPr="00AE40D2">
          <w:rPr>
            <w:rStyle w:val="Hyperlink"/>
            <w:rFonts w:ascii="Symbol" w:hAnsi="Symbol"/>
            <w:noProof/>
            <w:lang w:val="en-CA"/>
          </w:rPr>
          <w:t></w:t>
        </w:r>
        <w:r w:rsidR="002D3BEF">
          <w:rPr>
            <w:rFonts w:asciiTheme="minorHAnsi" w:eastAsiaTheme="minorEastAsia" w:hAnsiTheme="minorHAnsi"/>
            <w:b w:val="0"/>
            <w:noProof/>
            <w:lang w:eastAsia="en-US"/>
          </w:rPr>
          <w:tab/>
        </w:r>
        <w:r w:rsidR="002D3BEF" w:rsidRPr="00AE40D2">
          <w:rPr>
            <w:rStyle w:val="Hyperlink"/>
            <w:rFonts w:cs="Arial"/>
            <w:noProof/>
          </w:rPr>
          <w:t>RAN1 confirms the RAN2 assumption for issue [4] and it is RAN1 understanding that Note 3 in TS38.306, subclause 4.1.2 covers the agreement [4] in RAN2 LS.</w:t>
        </w:r>
      </w:hyperlink>
    </w:p>
    <w:p w14:paraId="15CB0286" w14:textId="0B7F999D" w:rsidR="002D3BEF" w:rsidRDefault="00916B3E">
      <w:pPr>
        <w:pStyle w:val="TableofFigures"/>
        <w:tabs>
          <w:tab w:val="right" w:leader="dot" w:pos="9350"/>
        </w:tabs>
        <w:rPr>
          <w:rFonts w:asciiTheme="minorHAnsi" w:eastAsiaTheme="minorEastAsia" w:hAnsiTheme="minorHAnsi"/>
          <w:b w:val="0"/>
          <w:noProof/>
          <w:lang w:eastAsia="en-US"/>
        </w:rPr>
      </w:pPr>
      <w:hyperlink w:anchor="_Toc127536052" w:history="1">
        <w:r w:rsidR="002D3BEF" w:rsidRPr="00AE40D2">
          <w:rPr>
            <w:rStyle w:val="Hyperlink"/>
            <w:noProof/>
            <w:lang w:val="en-CA"/>
          </w:rPr>
          <w:t>Proposal 3</w:t>
        </w:r>
        <w:r w:rsidR="002D3BEF">
          <w:rPr>
            <w:rFonts w:asciiTheme="minorHAnsi" w:eastAsiaTheme="minorEastAsia" w:hAnsiTheme="minorHAnsi"/>
            <w:b w:val="0"/>
            <w:noProof/>
            <w:lang w:eastAsia="en-US"/>
          </w:rPr>
          <w:tab/>
        </w:r>
        <w:r w:rsidR="002D3BEF" w:rsidRPr="00AE40D2">
          <w:rPr>
            <w:rStyle w:val="Hyperlink"/>
            <w:noProof/>
            <w:lang w:val="en-CA"/>
          </w:rPr>
          <w:t>Regarding issue [5] in RAN2 LS, send below reply to RAN2</w:t>
        </w:r>
      </w:hyperlink>
    </w:p>
    <w:p w14:paraId="282C7C9D" w14:textId="37DEDF39" w:rsidR="002D3BEF" w:rsidRDefault="00916B3E">
      <w:pPr>
        <w:pStyle w:val="TableofFigures"/>
        <w:tabs>
          <w:tab w:val="right" w:leader="dot" w:pos="9350"/>
        </w:tabs>
        <w:rPr>
          <w:rFonts w:asciiTheme="minorHAnsi" w:eastAsiaTheme="minorEastAsia" w:hAnsiTheme="minorHAnsi"/>
          <w:b w:val="0"/>
          <w:noProof/>
          <w:lang w:eastAsia="en-US"/>
        </w:rPr>
      </w:pPr>
      <w:hyperlink w:anchor="_Toc127536053" w:history="1">
        <w:r w:rsidR="002D3BEF" w:rsidRPr="00AE40D2">
          <w:rPr>
            <w:rStyle w:val="Hyperlink"/>
            <w:rFonts w:ascii="Symbol" w:hAnsi="Symbol"/>
            <w:noProof/>
            <w:lang w:val="en-CA"/>
          </w:rPr>
          <w:t></w:t>
        </w:r>
        <w:r w:rsidR="002D3BEF">
          <w:rPr>
            <w:rFonts w:asciiTheme="minorHAnsi" w:eastAsiaTheme="minorEastAsia" w:hAnsiTheme="minorHAnsi"/>
            <w:b w:val="0"/>
            <w:noProof/>
            <w:lang w:eastAsia="en-US"/>
          </w:rPr>
          <w:tab/>
        </w:r>
        <w:r w:rsidR="002D3BEF" w:rsidRPr="00AE40D2">
          <w:rPr>
            <w:rStyle w:val="Hyperlink"/>
            <w:noProof/>
            <w:lang w:val="en-CA"/>
          </w:rPr>
          <w:t>It is RAN1 understanding that “both scalingFactor and scalingFactor-1024QAM-FR1-r17 can be included for in one per CC capability and legacy scalingFactor is used when non-1024 QAM is configured”.</w:t>
        </w:r>
      </w:hyperlink>
    </w:p>
    <w:p w14:paraId="05870E42" w14:textId="4DB553C6" w:rsidR="0023426C" w:rsidRPr="00CE0424" w:rsidRDefault="0023426C" w:rsidP="0023426C">
      <w:pPr>
        <w:pStyle w:val="BodyText"/>
      </w:pPr>
      <w:r>
        <w:fldChar w:fldCharType="end"/>
      </w:r>
    </w:p>
    <w:p w14:paraId="293AB70B" w14:textId="77777777" w:rsidR="0023426C" w:rsidRPr="00CE0424" w:rsidRDefault="0023426C" w:rsidP="0023426C">
      <w:pPr>
        <w:pStyle w:val="Heading1"/>
        <w:numPr>
          <w:ilvl w:val="0"/>
          <w:numId w:val="0"/>
        </w:numPr>
      </w:pPr>
      <w:bookmarkStart w:id="9" w:name="_In-sequence_SDU_delivery"/>
      <w:bookmarkEnd w:id="9"/>
      <w:r w:rsidRPr="00CE0424">
        <w:t>References</w:t>
      </w:r>
    </w:p>
    <w:p w14:paraId="111CB14F" w14:textId="7F1B8DBE" w:rsidR="00F20089" w:rsidRPr="00F20089" w:rsidRDefault="00F20089" w:rsidP="00F20089">
      <w:pPr>
        <w:rPr>
          <w:rFonts w:ascii="Arial" w:hAnsi="Arial"/>
          <w:noProof/>
          <w:lang w:eastAsia="zh-CN"/>
        </w:rPr>
      </w:pPr>
      <w:bookmarkStart w:id="10" w:name="_Ref174151459"/>
      <w:bookmarkStart w:id="11" w:name="_Ref189809556"/>
      <w:r>
        <w:rPr>
          <w:rFonts w:ascii="Arial" w:hAnsi="Arial"/>
          <w:noProof/>
          <w:lang w:eastAsia="zh-CN"/>
        </w:rPr>
        <w:t xml:space="preserve">[1] </w:t>
      </w:r>
      <w:r w:rsidRPr="00F20089">
        <w:rPr>
          <w:rFonts w:ascii="Arial" w:hAnsi="Arial"/>
          <w:noProof/>
          <w:lang w:eastAsia="zh-CN"/>
        </w:rPr>
        <w:t xml:space="preserve">R1-2300019, RAN2, Huawei , “LS on reduced 1024 QAM capability”, RAN1#112, Athens, Greece Feb 27-Mar 3, 2023. </w:t>
      </w:r>
    </w:p>
    <w:bookmarkEnd w:id="10"/>
    <w:bookmarkEnd w:id="11"/>
    <w:p w14:paraId="63EE11D6" w14:textId="7DC2F5DE" w:rsidR="002876D0" w:rsidRPr="002876D0" w:rsidRDefault="002876D0" w:rsidP="002876D0">
      <w:pPr>
        <w:spacing w:after="0" w:line="240" w:lineRule="auto"/>
        <w:rPr>
          <w:rFonts w:ascii="Times" w:eastAsia="Batang" w:hAnsi="Times" w:cs="Times New Roman"/>
          <w:sz w:val="20"/>
          <w:szCs w:val="24"/>
          <w:lang w:val="en-GB" w:eastAsia="x-none"/>
        </w:rPr>
      </w:pPr>
    </w:p>
    <w:p w14:paraId="77C3E3BE" w14:textId="77777777" w:rsidR="002876D0" w:rsidRPr="00C24070" w:rsidRDefault="002876D0"/>
    <w:sectPr w:rsidR="002876D0" w:rsidRPr="00C24070" w:rsidSect="00B81BC3">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F0CC" w14:textId="77777777" w:rsidR="00FD7F4E" w:rsidRDefault="00FD7F4E">
      <w:pPr>
        <w:spacing w:after="0" w:line="240" w:lineRule="auto"/>
      </w:pPr>
      <w:r>
        <w:separator/>
      </w:r>
    </w:p>
  </w:endnote>
  <w:endnote w:type="continuationSeparator" w:id="0">
    <w:p w14:paraId="0867E0D3" w14:textId="77777777" w:rsidR="00FD7F4E" w:rsidRDefault="00FD7F4E">
      <w:pPr>
        <w:spacing w:after="0" w:line="240" w:lineRule="auto"/>
      </w:pPr>
      <w:r>
        <w:continuationSeparator/>
      </w:r>
    </w:p>
  </w:endnote>
  <w:endnote w:type="continuationNotice" w:id="1">
    <w:p w14:paraId="7A1DD873" w14:textId="77777777" w:rsidR="00FD7F4E" w:rsidRDefault="00FD7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C744FE" w:rsidRDefault="002342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6663F" w14:textId="77777777" w:rsidR="00FD7F4E" w:rsidRDefault="00FD7F4E">
      <w:pPr>
        <w:spacing w:after="0" w:line="240" w:lineRule="auto"/>
      </w:pPr>
      <w:r>
        <w:separator/>
      </w:r>
    </w:p>
  </w:footnote>
  <w:footnote w:type="continuationSeparator" w:id="0">
    <w:p w14:paraId="33DC5554" w14:textId="77777777" w:rsidR="00FD7F4E" w:rsidRDefault="00FD7F4E">
      <w:pPr>
        <w:spacing w:after="0" w:line="240" w:lineRule="auto"/>
      </w:pPr>
      <w:r>
        <w:continuationSeparator/>
      </w:r>
    </w:p>
  </w:footnote>
  <w:footnote w:type="continuationNotice" w:id="1">
    <w:p w14:paraId="04878677" w14:textId="77777777" w:rsidR="00FD7F4E" w:rsidRDefault="00FD7F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C744FE" w:rsidRDefault="0023426C"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204F3"/>
    <w:multiLevelType w:val="hybridMultilevel"/>
    <w:tmpl w:val="88B61B6E"/>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2000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8E5747E"/>
    <w:multiLevelType w:val="hybridMultilevel"/>
    <w:tmpl w:val="AFF4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EC17D8"/>
    <w:multiLevelType w:val="hybridMultilevel"/>
    <w:tmpl w:val="BFA8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4E0423"/>
    <w:multiLevelType w:val="hybridMultilevel"/>
    <w:tmpl w:val="DB90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76D219D"/>
    <w:multiLevelType w:val="hybridMultilevel"/>
    <w:tmpl w:val="5DD4F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D170DF"/>
    <w:multiLevelType w:val="hybridMultilevel"/>
    <w:tmpl w:val="B988415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B22B0"/>
    <w:multiLevelType w:val="hybridMultilevel"/>
    <w:tmpl w:val="07D6DE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027E8F"/>
    <w:multiLevelType w:val="hybridMultilevel"/>
    <w:tmpl w:val="31E6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CE72A6"/>
    <w:multiLevelType w:val="hybridMultilevel"/>
    <w:tmpl w:val="417ED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2071531833">
    <w:abstractNumId w:val="28"/>
  </w:num>
  <w:num w:numId="2" w16cid:durableId="717584569">
    <w:abstractNumId w:val="22"/>
  </w:num>
  <w:num w:numId="3" w16cid:durableId="160241731">
    <w:abstractNumId w:val="0"/>
  </w:num>
  <w:num w:numId="4" w16cid:durableId="792941383">
    <w:abstractNumId w:val="30"/>
  </w:num>
  <w:num w:numId="5" w16cid:durableId="318459805">
    <w:abstractNumId w:val="32"/>
  </w:num>
  <w:num w:numId="6" w16cid:durableId="2073887731">
    <w:abstractNumId w:val="34"/>
  </w:num>
  <w:num w:numId="7" w16cid:durableId="1070033670">
    <w:abstractNumId w:val="11"/>
  </w:num>
  <w:num w:numId="8" w16cid:durableId="1950114837">
    <w:abstractNumId w:val="14"/>
  </w:num>
  <w:num w:numId="9" w16cid:durableId="1284771824">
    <w:abstractNumId w:val="8"/>
  </w:num>
  <w:num w:numId="10" w16cid:durableId="421100310">
    <w:abstractNumId w:val="42"/>
  </w:num>
  <w:num w:numId="11" w16cid:durableId="642782038">
    <w:abstractNumId w:val="19"/>
  </w:num>
  <w:num w:numId="12" w16cid:durableId="810751256">
    <w:abstractNumId w:val="40"/>
  </w:num>
  <w:num w:numId="13" w16cid:durableId="929041184">
    <w:abstractNumId w:val="25"/>
  </w:num>
  <w:num w:numId="14" w16cid:durableId="1751854677">
    <w:abstractNumId w:val="44"/>
  </w:num>
  <w:num w:numId="15" w16cid:durableId="2105110981">
    <w:abstractNumId w:val="29"/>
  </w:num>
  <w:num w:numId="16" w16cid:durableId="1265259741">
    <w:abstractNumId w:val="33"/>
  </w:num>
  <w:num w:numId="17" w16cid:durableId="319235867">
    <w:abstractNumId w:val="37"/>
  </w:num>
  <w:num w:numId="18" w16cid:durableId="292297601">
    <w:abstractNumId w:val="13"/>
  </w:num>
  <w:num w:numId="19" w16cid:durableId="2031450187">
    <w:abstractNumId w:val="6"/>
  </w:num>
  <w:num w:numId="20" w16cid:durableId="278025849">
    <w:abstractNumId w:val="26"/>
  </w:num>
  <w:num w:numId="21" w16cid:durableId="33434426">
    <w:abstractNumId w:val="4"/>
  </w:num>
  <w:num w:numId="22" w16cid:durableId="1395542106">
    <w:abstractNumId w:val="39"/>
  </w:num>
  <w:num w:numId="23" w16cid:durableId="1481311320">
    <w:abstractNumId w:val="1"/>
  </w:num>
  <w:num w:numId="24" w16cid:durableId="12948695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57822">
    <w:abstractNumId w:val="31"/>
  </w:num>
  <w:num w:numId="26" w16cid:durableId="2054474">
    <w:abstractNumId w:val="27"/>
  </w:num>
  <w:num w:numId="27" w16cid:durableId="2057973958">
    <w:abstractNumId w:val="10"/>
  </w:num>
  <w:num w:numId="28" w16cid:durableId="1314409534">
    <w:abstractNumId w:val="9"/>
  </w:num>
  <w:num w:numId="29" w16cid:durableId="1997800795">
    <w:abstractNumId w:val="15"/>
  </w:num>
  <w:num w:numId="30" w16cid:durableId="2075276226">
    <w:abstractNumId w:val="20"/>
  </w:num>
  <w:num w:numId="31" w16cid:durableId="1597207123">
    <w:abstractNumId w:val="43"/>
  </w:num>
  <w:num w:numId="32" w16cid:durableId="370812230">
    <w:abstractNumId w:val="23"/>
  </w:num>
  <w:num w:numId="33" w16cid:durableId="1984044680">
    <w:abstractNumId w:val="3"/>
  </w:num>
  <w:num w:numId="34" w16cid:durableId="1098217863">
    <w:abstractNumId w:val="16"/>
  </w:num>
  <w:num w:numId="35" w16cid:durableId="902985312">
    <w:abstractNumId w:val="21"/>
  </w:num>
  <w:num w:numId="36" w16cid:durableId="1125540643">
    <w:abstractNumId w:val="22"/>
  </w:num>
  <w:num w:numId="37" w16cid:durableId="1164584477">
    <w:abstractNumId w:val="17"/>
  </w:num>
  <w:num w:numId="38" w16cid:durableId="556205251">
    <w:abstractNumId w:val="24"/>
  </w:num>
  <w:num w:numId="39" w16cid:durableId="1916816411">
    <w:abstractNumId w:val="18"/>
  </w:num>
  <w:num w:numId="40" w16cid:durableId="2081293443">
    <w:abstractNumId w:val="22"/>
  </w:num>
  <w:num w:numId="41" w16cid:durableId="589586099">
    <w:abstractNumId w:val="22"/>
  </w:num>
  <w:num w:numId="42" w16cid:durableId="1852643212">
    <w:abstractNumId w:val="22"/>
  </w:num>
  <w:num w:numId="43" w16cid:durableId="171184118">
    <w:abstractNumId w:val="22"/>
  </w:num>
  <w:num w:numId="44" w16cid:durableId="281307184">
    <w:abstractNumId w:val="30"/>
  </w:num>
  <w:num w:numId="45" w16cid:durableId="1634098155">
    <w:abstractNumId w:val="30"/>
  </w:num>
  <w:num w:numId="46" w16cid:durableId="28998904">
    <w:abstractNumId w:val="22"/>
  </w:num>
  <w:num w:numId="47" w16cid:durableId="64374566">
    <w:abstractNumId w:val="5"/>
  </w:num>
  <w:num w:numId="48" w16cid:durableId="1061633533">
    <w:abstractNumId w:val="12"/>
  </w:num>
  <w:num w:numId="49" w16cid:durableId="1096753018">
    <w:abstractNumId w:val="30"/>
  </w:num>
  <w:num w:numId="50" w16cid:durableId="2123722782">
    <w:abstractNumId w:val="30"/>
  </w:num>
  <w:num w:numId="51" w16cid:durableId="74515077">
    <w:abstractNumId w:val="30"/>
  </w:num>
  <w:num w:numId="52" w16cid:durableId="174930269">
    <w:abstractNumId w:val="7"/>
  </w:num>
  <w:num w:numId="53" w16cid:durableId="1204487779">
    <w:abstractNumId w:val="2"/>
  </w:num>
  <w:num w:numId="54" w16cid:durableId="1200897372">
    <w:abstractNumId w:val="35"/>
  </w:num>
  <w:num w:numId="55" w16cid:durableId="1553619931">
    <w:abstractNumId w:val="38"/>
  </w:num>
  <w:num w:numId="56" w16cid:durableId="1968118237">
    <w:abstractNumId w:val="41"/>
  </w:num>
  <w:num w:numId="57" w16cid:durableId="1548222464">
    <w:abstractNumId w:val="36"/>
  </w:num>
  <w:num w:numId="58" w16cid:durableId="2097243419">
    <w:abstractNumId w:val="30"/>
  </w:num>
  <w:num w:numId="59" w16cid:durableId="732315223">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00460"/>
    <w:rsid w:val="0000367A"/>
    <w:rsid w:val="0002104A"/>
    <w:rsid w:val="000309EF"/>
    <w:rsid w:val="000313DD"/>
    <w:rsid w:val="00031B00"/>
    <w:rsid w:val="00045D54"/>
    <w:rsid w:val="00047F68"/>
    <w:rsid w:val="000525F1"/>
    <w:rsid w:val="000706C7"/>
    <w:rsid w:val="00070F77"/>
    <w:rsid w:val="00081F7B"/>
    <w:rsid w:val="0008211D"/>
    <w:rsid w:val="00092CC0"/>
    <w:rsid w:val="00093454"/>
    <w:rsid w:val="00097ED4"/>
    <w:rsid w:val="000A6621"/>
    <w:rsid w:val="000A6628"/>
    <w:rsid w:val="000A694C"/>
    <w:rsid w:val="000A6AAD"/>
    <w:rsid w:val="000B2D0A"/>
    <w:rsid w:val="000B2D6A"/>
    <w:rsid w:val="000C3E7B"/>
    <w:rsid w:val="000D6715"/>
    <w:rsid w:val="000F1CA3"/>
    <w:rsid w:val="0010072B"/>
    <w:rsid w:val="00103A97"/>
    <w:rsid w:val="00110F88"/>
    <w:rsid w:val="00127154"/>
    <w:rsid w:val="001601E3"/>
    <w:rsid w:val="00166BE2"/>
    <w:rsid w:val="00170C13"/>
    <w:rsid w:val="00172679"/>
    <w:rsid w:val="00192F4D"/>
    <w:rsid w:val="00193C9B"/>
    <w:rsid w:val="001952F7"/>
    <w:rsid w:val="001B68F4"/>
    <w:rsid w:val="001D27B4"/>
    <w:rsid w:val="001D3D6E"/>
    <w:rsid w:val="001E3343"/>
    <w:rsid w:val="001F284A"/>
    <w:rsid w:val="001F67BB"/>
    <w:rsid w:val="00223398"/>
    <w:rsid w:val="002260AE"/>
    <w:rsid w:val="0023426C"/>
    <w:rsid w:val="00235828"/>
    <w:rsid w:val="002403E1"/>
    <w:rsid w:val="0024518C"/>
    <w:rsid w:val="002468E1"/>
    <w:rsid w:val="0024787B"/>
    <w:rsid w:val="00254288"/>
    <w:rsid w:val="00265415"/>
    <w:rsid w:val="0026771B"/>
    <w:rsid w:val="002835CC"/>
    <w:rsid w:val="002876D0"/>
    <w:rsid w:val="00287DCC"/>
    <w:rsid w:val="002A0506"/>
    <w:rsid w:val="002A200C"/>
    <w:rsid w:val="002A660B"/>
    <w:rsid w:val="002C62C5"/>
    <w:rsid w:val="002D3BEF"/>
    <w:rsid w:val="002F0CAD"/>
    <w:rsid w:val="003121DC"/>
    <w:rsid w:val="00315AE4"/>
    <w:rsid w:val="0031771D"/>
    <w:rsid w:val="00323F39"/>
    <w:rsid w:val="0034392C"/>
    <w:rsid w:val="00345839"/>
    <w:rsid w:val="0035355C"/>
    <w:rsid w:val="00354C94"/>
    <w:rsid w:val="00355B17"/>
    <w:rsid w:val="00362C04"/>
    <w:rsid w:val="00382037"/>
    <w:rsid w:val="00391C65"/>
    <w:rsid w:val="003B7DA4"/>
    <w:rsid w:val="003C6601"/>
    <w:rsid w:val="003D5531"/>
    <w:rsid w:val="003E4FF3"/>
    <w:rsid w:val="003F1C5D"/>
    <w:rsid w:val="003F3E09"/>
    <w:rsid w:val="003F6C69"/>
    <w:rsid w:val="0040468D"/>
    <w:rsid w:val="00415DE8"/>
    <w:rsid w:val="00423C7F"/>
    <w:rsid w:val="00426B75"/>
    <w:rsid w:val="00435D12"/>
    <w:rsid w:val="00457EED"/>
    <w:rsid w:val="0046200E"/>
    <w:rsid w:val="00482057"/>
    <w:rsid w:val="00492653"/>
    <w:rsid w:val="004C2A00"/>
    <w:rsid w:val="004D2DF8"/>
    <w:rsid w:val="004D6572"/>
    <w:rsid w:val="004D6DC6"/>
    <w:rsid w:val="004F1D86"/>
    <w:rsid w:val="004F49C7"/>
    <w:rsid w:val="004F5077"/>
    <w:rsid w:val="00502EBA"/>
    <w:rsid w:val="00516321"/>
    <w:rsid w:val="005177E8"/>
    <w:rsid w:val="00522E05"/>
    <w:rsid w:val="00524987"/>
    <w:rsid w:val="00533BD7"/>
    <w:rsid w:val="00537DA4"/>
    <w:rsid w:val="00544113"/>
    <w:rsid w:val="00546EE8"/>
    <w:rsid w:val="00552440"/>
    <w:rsid w:val="00564BAA"/>
    <w:rsid w:val="0056744F"/>
    <w:rsid w:val="00587932"/>
    <w:rsid w:val="005B38B1"/>
    <w:rsid w:val="005C3F73"/>
    <w:rsid w:val="005D11C0"/>
    <w:rsid w:val="005E0CC8"/>
    <w:rsid w:val="005E499F"/>
    <w:rsid w:val="00603AA2"/>
    <w:rsid w:val="00631004"/>
    <w:rsid w:val="00631AE7"/>
    <w:rsid w:val="00632535"/>
    <w:rsid w:val="0065257E"/>
    <w:rsid w:val="00653572"/>
    <w:rsid w:val="00661B09"/>
    <w:rsid w:val="00662D60"/>
    <w:rsid w:val="00672C32"/>
    <w:rsid w:val="00682A45"/>
    <w:rsid w:val="006A0090"/>
    <w:rsid w:val="006B13B3"/>
    <w:rsid w:val="006B1A66"/>
    <w:rsid w:val="006C0443"/>
    <w:rsid w:val="006D0A39"/>
    <w:rsid w:val="006D6704"/>
    <w:rsid w:val="00700EE5"/>
    <w:rsid w:val="007111F5"/>
    <w:rsid w:val="0072009A"/>
    <w:rsid w:val="007256FA"/>
    <w:rsid w:val="007340BD"/>
    <w:rsid w:val="0075064E"/>
    <w:rsid w:val="007539C3"/>
    <w:rsid w:val="00760732"/>
    <w:rsid w:val="007834E2"/>
    <w:rsid w:val="00787417"/>
    <w:rsid w:val="007A1F69"/>
    <w:rsid w:val="007B2FA0"/>
    <w:rsid w:val="007B6E59"/>
    <w:rsid w:val="007C02D6"/>
    <w:rsid w:val="007E3996"/>
    <w:rsid w:val="007F1459"/>
    <w:rsid w:val="00810EE2"/>
    <w:rsid w:val="0081412F"/>
    <w:rsid w:val="008200F1"/>
    <w:rsid w:val="008647A5"/>
    <w:rsid w:val="00864E71"/>
    <w:rsid w:val="0087653B"/>
    <w:rsid w:val="008935F7"/>
    <w:rsid w:val="00895998"/>
    <w:rsid w:val="008A148B"/>
    <w:rsid w:val="008A408A"/>
    <w:rsid w:val="008A60EF"/>
    <w:rsid w:val="008D4F77"/>
    <w:rsid w:val="008F1CB3"/>
    <w:rsid w:val="00902CA8"/>
    <w:rsid w:val="009078E0"/>
    <w:rsid w:val="00916B3E"/>
    <w:rsid w:val="00925801"/>
    <w:rsid w:val="00930922"/>
    <w:rsid w:val="009417C9"/>
    <w:rsid w:val="00943158"/>
    <w:rsid w:val="00945DA6"/>
    <w:rsid w:val="0095335A"/>
    <w:rsid w:val="00954F13"/>
    <w:rsid w:val="00962048"/>
    <w:rsid w:val="009717AC"/>
    <w:rsid w:val="009778DD"/>
    <w:rsid w:val="009A0230"/>
    <w:rsid w:val="009C4086"/>
    <w:rsid w:val="009D2DC8"/>
    <w:rsid w:val="009D50BA"/>
    <w:rsid w:val="009D786F"/>
    <w:rsid w:val="009E008E"/>
    <w:rsid w:val="009E7CD7"/>
    <w:rsid w:val="009F70BA"/>
    <w:rsid w:val="00A01325"/>
    <w:rsid w:val="00A155D7"/>
    <w:rsid w:val="00A32AAF"/>
    <w:rsid w:val="00A35814"/>
    <w:rsid w:val="00A43366"/>
    <w:rsid w:val="00A43D77"/>
    <w:rsid w:val="00A55CAE"/>
    <w:rsid w:val="00A56547"/>
    <w:rsid w:val="00A60DFE"/>
    <w:rsid w:val="00A66263"/>
    <w:rsid w:val="00A77F6F"/>
    <w:rsid w:val="00A8215F"/>
    <w:rsid w:val="00AA3EDD"/>
    <w:rsid w:val="00AA7CFB"/>
    <w:rsid w:val="00AA7EB5"/>
    <w:rsid w:val="00AB023E"/>
    <w:rsid w:val="00AB2551"/>
    <w:rsid w:val="00AC595E"/>
    <w:rsid w:val="00AD106B"/>
    <w:rsid w:val="00AD66FF"/>
    <w:rsid w:val="00AD7508"/>
    <w:rsid w:val="00AE7480"/>
    <w:rsid w:val="00AF1171"/>
    <w:rsid w:val="00AF1B87"/>
    <w:rsid w:val="00AF5AC9"/>
    <w:rsid w:val="00B130E6"/>
    <w:rsid w:val="00B13BAA"/>
    <w:rsid w:val="00B146D2"/>
    <w:rsid w:val="00B2127F"/>
    <w:rsid w:val="00B31675"/>
    <w:rsid w:val="00B35A2B"/>
    <w:rsid w:val="00B448BA"/>
    <w:rsid w:val="00B56056"/>
    <w:rsid w:val="00B5696D"/>
    <w:rsid w:val="00B62C10"/>
    <w:rsid w:val="00B65D9A"/>
    <w:rsid w:val="00B90963"/>
    <w:rsid w:val="00B9540E"/>
    <w:rsid w:val="00B958A6"/>
    <w:rsid w:val="00B96095"/>
    <w:rsid w:val="00BA00E1"/>
    <w:rsid w:val="00BA15A8"/>
    <w:rsid w:val="00BB41BE"/>
    <w:rsid w:val="00BE58AE"/>
    <w:rsid w:val="00C045B1"/>
    <w:rsid w:val="00C11667"/>
    <w:rsid w:val="00C13C70"/>
    <w:rsid w:val="00C204C2"/>
    <w:rsid w:val="00C20F1D"/>
    <w:rsid w:val="00C24070"/>
    <w:rsid w:val="00C24505"/>
    <w:rsid w:val="00C35445"/>
    <w:rsid w:val="00C37BE2"/>
    <w:rsid w:val="00C46294"/>
    <w:rsid w:val="00C85440"/>
    <w:rsid w:val="00C91DAD"/>
    <w:rsid w:val="00C943D1"/>
    <w:rsid w:val="00CB41CF"/>
    <w:rsid w:val="00CC66D5"/>
    <w:rsid w:val="00CD05E1"/>
    <w:rsid w:val="00CE2D60"/>
    <w:rsid w:val="00CF1C75"/>
    <w:rsid w:val="00D02027"/>
    <w:rsid w:val="00D24898"/>
    <w:rsid w:val="00D253FF"/>
    <w:rsid w:val="00D42E11"/>
    <w:rsid w:val="00D47A85"/>
    <w:rsid w:val="00D5332E"/>
    <w:rsid w:val="00D56678"/>
    <w:rsid w:val="00D61273"/>
    <w:rsid w:val="00DF3419"/>
    <w:rsid w:val="00E001A6"/>
    <w:rsid w:val="00E032AA"/>
    <w:rsid w:val="00E0608F"/>
    <w:rsid w:val="00E06F8E"/>
    <w:rsid w:val="00E14506"/>
    <w:rsid w:val="00E17C03"/>
    <w:rsid w:val="00E21941"/>
    <w:rsid w:val="00E22AFD"/>
    <w:rsid w:val="00E27049"/>
    <w:rsid w:val="00E31A82"/>
    <w:rsid w:val="00E41A5A"/>
    <w:rsid w:val="00E43F23"/>
    <w:rsid w:val="00E556D3"/>
    <w:rsid w:val="00E55BD3"/>
    <w:rsid w:val="00E55F4E"/>
    <w:rsid w:val="00E721B6"/>
    <w:rsid w:val="00E80F75"/>
    <w:rsid w:val="00E95AA6"/>
    <w:rsid w:val="00EA6B39"/>
    <w:rsid w:val="00EC19C9"/>
    <w:rsid w:val="00EC2391"/>
    <w:rsid w:val="00EC3862"/>
    <w:rsid w:val="00EC41A7"/>
    <w:rsid w:val="00EE2979"/>
    <w:rsid w:val="00EE6028"/>
    <w:rsid w:val="00EF1F77"/>
    <w:rsid w:val="00EF4B7C"/>
    <w:rsid w:val="00EF5A75"/>
    <w:rsid w:val="00F02409"/>
    <w:rsid w:val="00F157D6"/>
    <w:rsid w:val="00F20089"/>
    <w:rsid w:val="00F31F2D"/>
    <w:rsid w:val="00F32FD5"/>
    <w:rsid w:val="00F4548C"/>
    <w:rsid w:val="00F466CA"/>
    <w:rsid w:val="00F860D4"/>
    <w:rsid w:val="00F862DE"/>
    <w:rsid w:val="00FA2C81"/>
    <w:rsid w:val="00FB0D22"/>
    <w:rsid w:val="00FD7F4E"/>
    <w:rsid w:val="00FF15E3"/>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uiPriority w:val="99"/>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rsid w:val="0023426C"/>
    <w:pPr>
      <w:jc w:val="center"/>
    </w:pPr>
  </w:style>
  <w:style w:type="paragraph" w:customStyle="1" w:styleId="TAH">
    <w:name w:val="TAH"/>
    <w:basedOn w:val="TAC"/>
    <w:link w:val="TAHCar"/>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pPr>
    <w:rPr>
      <w:lang w:eastAsia="ja-JP"/>
    </w:rPr>
  </w:style>
  <w:style w:type="paragraph" w:styleId="TableofFigures">
    <w:name w:val="table of figures"/>
    <w:basedOn w:val="BodyText"/>
    <w:next w:val="Normal"/>
    <w:uiPriority w:val="99"/>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23"/>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82057"/>
  </w:style>
  <w:style w:type="paragraph" w:customStyle="1" w:styleId="ListParagraph1">
    <w:name w:val="List Paragraph1"/>
    <w:basedOn w:val="Normal"/>
    <w:qFormat/>
    <w:rsid w:val="002876D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greement">
    <w:name w:val="Agreement"/>
    <w:basedOn w:val="Normal"/>
    <w:next w:val="Normal"/>
    <w:qFormat/>
    <w:rsid w:val="00F20089"/>
    <w:pPr>
      <w:numPr>
        <w:numId w:val="56"/>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69078">
      <w:bodyDiv w:val="1"/>
      <w:marLeft w:val="0"/>
      <w:marRight w:val="0"/>
      <w:marTop w:val="0"/>
      <w:marBottom w:val="0"/>
      <w:divBdr>
        <w:top w:val="none" w:sz="0" w:space="0" w:color="auto"/>
        <w:left w:val="none" w:sz="0" w:space="0" w:color="auto"/>
        <w:bottom w:val="none" w:sz="0" w:space="0" w:color="auto"/>
        <w:right w:val="none" w:sz="0" w:space="0" w:color="auto"/>
      </w:divBdr>
    </w:div>
    <w:div w:id="1302072437">
      <w:bodyDiv w:val="1"/>
      <w:marLeft w:val="0"/>
      <w:marRight w:val="0"/>
      <w:marTop w:val="0"/>
      <w:marBottom w:val="0"/>
      <w:divBdr>
        <w:top w:val="none" w:sz="0" w:space="0" w:color="auto"/>
        <w:left w:val="none" w:sz="0" w:space="0" w:color="auto"/>
        <w:bottom w:val="none" w:sz="0" w:space="0" w:color="auto"/>
        <w:right w:val="none" w:sz="0" w:space="0" w:color="auto"/>
      </w:divBdr>
    </w:div>
    <w:div w:id="17572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2BF2-3A12-4094-AF31-EE0B5A71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2023-02-17T23:28:00Z</dcterms:created>
  <dcterms:modified xsi:type="dcterms:W3CDTF">2023-02-17T23:28:00Z</dcterms:modified>
</cp:coreProperties>
</file>